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1B9E" w14:textId="4F27D653" w:rsidR="003F4CB7" w:rsidRPr="00F238E1" w:rsidRDefault="009361E4" w:rsidP="009361E4">
      <w:pPr>
        <w:jc w:val="right"/>
        <w:rPr>
          <w:rFonts w:cstheme="minorHAnsi"/>
          <w:noProof/>
          <w:sz w:val="24"/>
          <w:szCs w:val="24"/>
          <w:lang w:eastAsia="en-IN"/>
        </w:rPr>
      </w:pPr>
      <w:r w:rsidRPr="00F238E1">
        <w:rPr>
          <w:rFonts w:cstheme="minorHAnsi"/>
          <w:noProof/>
          <w:sz w:val="24"/>
          <w:szCs w:val="24"/>
          <w:lang w:eastAsia="en-IN"/>
        </w:rPr>
        <w:drawing>
          <wp:inline distT="0" distB="0" distL="0" distR="0" wp14:anchorId="46561853" wp14:editId="6FF010C0">
            <wp:extent cx="2390775" cy="847725"/>
            <wp:effectExtent l="0" t="0" r="9525" b="9525"/>
            <wp:docPr id="1" name="Picture 1"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p w14:paraId="193E74F6" w14:textId="6992B207" w:rsidR="003F4CB7" w:rsidRPr="00F238E1" w:rsidRDefault="003F4CB7" w:rsidP="003F4CB7">
      <w:pPr>
        <w:ind w:left="5760"/>
        <w:rPr>
          <w:rFonts w:cstheme="minorHAnsi"/>
          <w:noProof/>
          <w:sz w:val="24"/>
          <w:szCs w:val="24"/>
          <w:lang w:eastAsia="en-IN"/>
        </w:rPr>
      </w:pPr>
      <w:r w:rsidRPr="00F238E1">
        <w:rPr>
          <w:rFonts w:cstheme="minorHAnsi"/>
          <w:noProof/>
          <w:sz w:val="24"/>
          <w:szCs w:val="24"/>
          <w:lang w:eastAsia="en-IN"/>
        </w:rPr>
        <w:t xml:space="preserve">                                                                                                                        </w:t>
      </w:r>
    </w:p>
    <w:p w14:paraId="0C19BED0" w14:textId="77777777" w:rsidR="003F4CB7" w:rsidRPr="00F238E1" w:rsidRDefault="003F4CB7" w:rsidP="003F4CB7">
      <w:pPr>
        <w:rPr>
          <w:rFonts w:cstheme="minorHAnsi"/>
          <w:b/>
          <w:sz w:val="24"/>
          <w:szCs w:val="24"/>
        </w:rPr>
      </w:pPr>
    </w:p>
    <w:p w14:paraId="52B9E2F0" w14:textId="3CC1AD6B" w:rsidR="003F4CB7" w:rsidRPr="008B199D" w:rsidRDefault="003F4CB7" w:rsidP="003F4CB7">
      <w:pPr>
        <w:rPr>
          <w:rFonts w:ascii="Arial" w:hAnsi="Arial" w:cs="Arial"/>
          <w:b/>
          <w:sz w:val="40"/>
          <w:szCs w:val="40"/>
        </w:rPr>
      </w:pPr>
      <w:r w:rsidRPr="008B199D">
        <w:rPr>
          <w:rFonts w:ascii="Arial" w:hAnsi="Arial" w:cs="Arial"/>
          <w:b/>
          <w:sz w:val="40"/>
          <w:szCs w:val="40"/>
        </w:rPr>
        <w:t>Global Banking Education Standards Board</w:t>
      </w:r>
    </w:p>
    <w:p w14:paraId="6D26C932" w14:textId="3ABB3C23" w:rsidR="009361E4" w:rsidRPr="00116BA0" w:rsidRDefault="009361E4" w:rsidP="003F4CB7">
      <w:pPr>
        <w:rPr>
          <w:rFonts w:cstheme="minorHAnsi"/>
          <w:b/>
          <w:sz w:val="28"/>
          <w:szCs w:val="28"/>
        </w:rPr>
      </w:pPr>
      <w:r>
        <w:rPr>
          <w:rFonts w:cstheme="minorHAnsi"/>
          <w:b/>
          <w:sz w:val="28"/>
          <w:szCs w:val="28"/>
        </w:rPr>
        <w:t>_____________________________________________________________</w:t>
      </w:r>
    </w:p>
    <w:p w14:paraId="0CA42ECA" w14:textId="66EC7C08" w:rsidR="003F4CB7" w:rsidRPr="008B199D" w:rsidRDefault="003F4CB7" w:rsidP="003F4CB7">
      <w:pPr>
        <w:rPr>
          <w:rFonts w:ascii="Arial" w:hAnsi="Arial" w:cs="Arial"/>
          <w:b/>
          <w:sz w:val="40"/>
          <w:szCs w:val="40"/>
        </w:rPr>
      </w:pPr>
      <w:r w:rsidRPr="008B199D">
        <w:rPr>
          <w:rFonts w:ascii="Arial" w:hAnsi="Arial" w:cs="Arial"/>
          <w:b/>
          <w:sz w:val="40"/>
          <w:szCs w:val="40"/>
        </w:rPr>
        <w:t xml:space="preserve">Treasury </w:t>
      </w:r>
      <w:r w:rsidR="00571A6F" w:rsidRPr="008B199D">
        <w:rPr>
          <w:rFonts w:ascii="Arial" w:hAnsi="Arial" w:cs="Arial"/>
          <w:b/>
          <w:sz w:val="40"/>
          <w:szCs w:val="40"/>
        </w:rPr>
        <w:t>Operations</w:t>
      </w:r>
      <w:r w:rsidR="00F7195B">
        <w:rPr>
          <w:rFonts w:ascii="Arial" w:hAnsi="Arial" w:cs="Arial"/>
          <w:b/>
          <w:sz w:val="40"/>
          <w:szCs w:val="40"/>
        </w:rPr>
        <w:t xml:space="preserve">                             </w:t>
      </w:r>
      <w:r w:rsidRPr="008B199D">
        <w:rPr>
          <w:rFonts w:ascii="Arial" w:hAnsi="Arial" w:cs="Arial"/>
          <w:b/>
          <w:sz w:val="40"/>
          <w:szCs w:val="40"/>
        </w:rPr>
        <w:t xml:space="preserve"> Education and Training for Professional Bankers</w:t>
      </w:r>
      <w:r w:rsidRPr="008B199D">
        <w:rPr>
          <w:rFonts w:ascii="Arial" w:hAnsi="Arial" w:cs="Arial"/>
          <w:b/>
          <w:sz w:val="40"/>
          <w:szCs w:val="40"/>
        </w:rPr>
        <w:br w:type="page"/>
      </w:r>
    </w:p>
    <w:p w14:paraId="11A3BF1F" w14:textId="1C98A8BE" w:rsidR="003F4CB7" w:rsidRPr="00F238E1" w:rsidRDefault="00902411" w:rsidP="00902411">
      <w:pPr>
        <w:jc w:val="right"/>
        <w:rPr>
          <w:rFonts w:cstheme="minorHAnsi"/>
          <w:b/>
          <w:sz w:val="24"/>
          <w:szCs w:val="24"/>
        </w:rPr>
      </w:pPr>
      <w:r w:rsidRPr="00F238E1">
        <w:rPr>
          <w:rFonts w:cstheme="minorHAnsi"/>
          <w:noProof/>
          <w:sz w:val="24"/>
          <w:szCs w:val="24"/>
          <w:lang w:eastAsia="en-IN"/>
        </w:rPr>
        <w:lastRenderedPageBreak/>
        <w:drawing>
          <wp:inline distT="0" distB="0" distL="0" distR="0" wp14:anchorId="278E3C85" wp14:editId="0AC52619">
            <wp:extent cx="1714500" cy="607930"/>
            <wp:effectExtent l="0" t="0" r="0" b="1905"/>
            <wp:docPr id="2" name="Picture 2"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51E7C387" w14:textId="77777777" w:rsidR="003F4CB7" w:rsidRPr="006A1414" w:rsidRDefault="003F4CB7" w:rsidP="003F4CB7">
      <w:pPr>
        <w:rPr>
          <w:rFonts w:ascii="Arial" w:hAnsi="Arial" w:cs="Arial"/>
          <w:b/>
          <w:sz w:val="28"/>
          <w:szCs w:val="24"/>
        </w:rPr>
      </w:pPr>
      <w:r w:rsidRPr="006A1414">
        <w:rPr>
          <w:rFonts w:ascii="Arial" w:hAnsi="Arial" w:cs="Arial"/>
          <w:b/>
          <w:sz w:val="28"/>
          <w:szCs w:val="24"/>
        </w:rPr>
        <w:t>OVERVIEW</w:t>
      </w:r>
    </w:p>
    <w:p w14:paraId="434505E2" w14:textId="77777777" w:rsidR="003F4CB7" w:rsidRPr="006A1414" w:rsidRDefault="003F4CB7" w:rsidP="006A1414">
      <w:pPr>
        <w:spacing w:after="200" w:line="276" w:lineRule="auto"/>
        <w:jc w:val="both"/>
        <w:rPr>
          <w:rFonts w:ascii="Arial" w:eastAsia="Calibri" w:hAnsi="Arial" w:cs="Arial"/>
          <w:b/>
          <w:sz w:val="24"/>
          <w:szCs w:val="24"/>
          <w:lang w:val="en-GB"/>
        </w:rPr>
      </w:pPr>
      <w:r w:rsidRPr="006A1414">
        <w:rPr>
          <w:rFonts w:ascii="Arial" w:eastAsia="Calibri" w:hAnsi="Arial" w:cs="Arial"/>
          <w:b/>
          <w:sz w:val="24"/>
          <w:szCs w:val="24"/>
          <w:lang w:val="en-GB"/>
        </w:rPr>
        <w:t>Introduction</w:t>
      </w:r>
    </w:p>
    <w:p w14:paraId="49FF81E6" w14:textId="77777777" w:rsidR="003F4CB7" w:rsidRPr="006A1414" w:rsidRDefault="003F4CB7" w:rsidP="00F238E1">
      <w:pPr>
        <w:jc w:val="both"/>
        <w:rPr>
          <w:rFonts w:ascii="Arial" w:eastAsia="Calibri" w:hAnsi="Arial" w:cs="Arial"/>
          <w:lang w:val="en-GB"/>
        </w:rPr>
      </w:pPr>
      <w:r w:rsidRPr="006A1414">
        <w:rPr>
          <w:rFonts w:ascii="Arial" w:eastAsia="Calibri" w:hAnsi="Arial" w:cs="Arial"/>
          <w:lang w:val="en-GB"/>
        </w:rPr>
        <w:t>The Global Banking Education Standards Board (GBEStB) was established in 2017. A voluntary, industry-led initiative established by 25 banking institutes, the GBEStB aims to develop clear, internationally agreed standards for the education of Professional Bankers</w:t>
      </w:r>
    </w:p>
    <w:p w14:paraId="6A272361" w14:textId="297AA4F9" w:rsidR="003F4CB7" w:rsidRPr="006A1414" w:rsidRDefault="003F4CB7" w:rsidP="00F238E1">
      <w:pPr>
        <w:jc w:val="both"/>
        <w:rPr>
          <w:rFonts w:ascii="Arial" w:eastAsia="Calibri" w:hAnsi="Arial" w:cs="Arial"/>
          <w:lang w:val="en-GB"/>
        </w:rPr>
      </w:pPr>
      <w:r w:rsidRPr="006A1414">
        <w:rPr>
          <w:rFonts w:ascii="Arial" w:eastAsia="Calibri" w:hAnsi="Arial" w:cs="Arial"/>
          <w:lang w:val="en-GB"/>
        </w:rPr>
        <w:t xml:space="preserve">The </w:t>
      </w:r>
      <w:proofErr w:type="spellStart"/>
      <w:r w:rsidRPr="006A1414">
        <w:rPr>
          <w:rFonts w:ascii="Arial" w:eastAsia="Calibri" w:hAnsi="Arial" w:cs="Arial"/>
          <w:lang w:val="en-GB"/>
        </w:rPr>
        <w:t>GBEStB’s</w:t>
      </w:r>
      <w:proofErr w:type="spellEnd"/>
      <w:r w:rsidRPr="006A1414">
        <w:rPr>
          <w:rFonts w:ascii="Arial" w:eastAsia="Calibri" w:hAnsi="Arial" w:cs="Arial"/>
          <w:lang w:val="en-GB"/>
        </w:rPr>
        <w:t xml:space="preserve"> standards will inform the development of national banking education programmes </w:t>
      </w:r>
      <w:r w:rsidR="000B0308">
        <w:rPr>
          <w:rFonts w:ascii="Arial" w:eastAsia="Calibri" w:hAnsi="Arial" w:cs="Arial"/>
          <w:lang w:val="en-GB"/>
        </w:rPr>
        <w:t>delivered by banking institutes</w:t>
      </w:r>
      <w:r w:rsidRPr="006A1414">
        <w:rPr>
          <w:rFonts w:ascii="Arial" w:eastAsia="Calibri" w:hAnsi="Arial" w:cs="Arial"/>
          <w:lang w:val="en-GB"/>
        </w:rPr>
        <w:t xml:space="preserve"> and others, pr</w:t>
      </w:r>
      <w:r w:rsidR="00571A6F" w:rsidRPr="006A1414">
        <w:rPr>
          <w:rFonts w:ascii="Arial" w:eastAsia="Calibri" w:hAnsi="Arial" w:cs="Arial"/>
          <w:lang w:val="en-GB"/>
        </w:rPr>
        <w:t xml:space="preserve">oviding the foundation for high </w:t>
      </w:r>
      <w:r w:rsidRPr="006A1414">
        <w:rPr>
          <w:rFonts w:ascii="Arial" w:eastAsia="Calibri" w:hAnsi="Arial" w:cs="Arial"/>
          <w:lang w:val="en-GB"/>
        </w:rPr>
        <w:t xml:space="preserve">quality and consistent education of bankers. </w:t>
      </w:r>
      <w:r w:rsidR="00571A6F" w:rsidRPr="006A1414">
        <w:rPr>
          <w:rFonts w:ascii="Arial" w:eastAsia="Calibri" w:hAnsi="Arial" w:cs="Arial"/>
          <w:lang w:val="en-GB"/>
        </w:rPr>
        <w:t>Treasury Management</w:t>
      </w:r>
      <w:r w:rsidRPr="006A1414">
        <w:rPr>
          <w:rFonts w:ascii="Arial" w:eastAsia="Calibri" w:hAnsi="Arial" w:cs="Arial"/>
          <w:lang w:val="en-GB"/>
        </w:rPr>
        <w:t xml:space="preserve"> being </w:t>
      </w:r>
      <w:r w:rsidR="00571A6F" w:rsidRPr="006A1414">
        <w:rPr>
          <w:rFonts w:ascii="Arial" w:eastAsia="Calibri" w:hAnsi="Arial" w:cs="Arial"/>
          <w:lang w:val="en-GB"/>
        </w:rPr>
        <w:t xml:space="preserve">one of the </w:t>
      </w:r>
      <w:r w:rsidRPr="006A1414">
        <w:rPr>
          <w:rFonts w:ascii="Arial" w:eastAsia="Calibri" w:hAnsi="Arial" w:cs="Arial"/>
          <w:lang w:val="en-GB"/>
        </w:rPr>
        <w:t>core area</w:t>
      </w:r>
      <w:r w:rsidR="00571A6F" w:rsidRPr="006A1414">
        <w:rPr>
          <w:rFonts w:ascii="Arial" w:eastAsia="Calibri" w:hAnsi="Arial" w:cs="Arial"/>
          <w:lang w:val="en-GB"/>
        </w:rPr>
        <w:t>s</w:t>
      </w:r>
      <w:r w:rsidRPr="006A1414">
        <w:rPr>
          <w:rFonts w:ascii="Arial" w:eastAsia="Calibri" w:hAnsi="Arial" w:cs="Arial"/>
          <w:lang w:val="en-GB"/>
        </w:rPr>
        <w:t xml:space="preserve"> of</w:t>
      </w:r>
      <w:r w:rsidR="00571A6F" w:rsidRPr="006A1414">
        <w:rPr>
          <w:rFonts w:ascii="Arial" w:eastAsia="Calibri" w:hAnsi="Arial" w:cs="Arial"/>
          <w:lang w:val="en-GB"/>
        </w:rPr>
        <w:t xml:space="preserve"> </w:t>
      </w:r>
      <w:r w:rsidRPr="006A1414">
        <w:rPr>
          <w:rFonts w:ascii="Arial" w:eastAsia="Calibri" w:hAnsi="Arial" w:cs="Arial"/>
          <w:lang w:val="en-GB"/>
        </w:rPr>
        <w:t xml:space="preserve">Banking, global standards set out in this area will contribute to financial stability and facilitate the </w:t>
      </w:r>
      <w:r w:rsidR="00571A6F" w:rsidRPr="006A1414">
        <w:rPr>
          <w:rFonts w:ascii="Arial" w:eastAsia="Calibri" w:hAnsi="Arial" w:cs="Arial"/>
          <w:lang w:val="en-GB"/>
        </w:rPr>
        <w:t>i</w:t>
      </w:r>
      <w:r w:rsidRPr="006A1414">
        <w:rPr>
          <w:rFonts w:ascii="Arial" w:eastAsia="Calibri" w:hAnsi="Arial" w:cs="Arial"/>
          <w:lang w:val="en-GB"/>
        </w:rPr>
        <w:t>nternational mobility of Professional Bankers.</w:t>
      </w:r>
    </w:p>
    <w:p w14:paraId="7A851D5F" w14:textId="10841CDB" w:rsidR="000157AF" w:rsidRDefault="003F4CB7" w:rsidP="00F238E1">
      <w:pPr>
        <w:jc w:val="both"/>
        <w:rPr>
          <w:rFonts w:ascii="Arial" w:eastAsia="Calibri" w:hAnsi="Arial" w:cs="Arial"/>
          <w:lang w:val="en-GB"/>
        </w:rPr>
      </w:pPr>
      <w:r w:rsidRPr="006A1414">
        <w:rPr>
          <w:rFonts w:ascii="Arial" w:eastAsia="Calibri" w:hAnsi="Arial" w:cs="Arial"/>
          <w:lang w:val="en-GB"/>
        </w:rPr>
        <w:t>The GBEStB established the Education Standards Committee to develop and publish</w:t>
      </w:r>
      <w:r w:rsidR="00571A6F" w:rsidRPr="006A1414">
        <w:rPr>
          <w:rFonts w:ascii="Arial" w:eastAsia="Calibri" w:hAnsi="Arial" w:cs="Arial"/>
          <w:lang w:val="en-GB"/>
        </w:rPr>
        <w:t xml:space="preserve"> </w:t>
      </w:r>
      <w:r w:rsidRPr="006A1414">
        <w:rPr>
          <w:rFonts w:ascii="Arial" w:eastAsia="Calibri" w:hAnsi="Arial" w:cs="Arial"/>
          <w:lang w:val="en-GB"/>
        </w:rPr>
        <w:t xml:space="preserve">standards for banking education. The Committee has so far developed </w:t>
      </w:r>
      <w:r w:rsidR="00571A6F" w:rsidRPr="006A1414">
        <w:rPr>
          <w:rFonts w:ascii="Arial" w:eastAsia="Calibri" w:hAnsi="Arial" w:cs="Arial"/>
          <w:lang w:val="en-GB"/>
        </w:rPr>
        <w:t>five</w:t>
      </w:r>
      <w:r w:rsidRPr="006A1414">
        <w:rPr>
          <w:rFonts w:ascii="Arial" w:eastAsia="Calibri" w:hAnsi="Arial" w:cs="Arial"/>
          <w:lang w:val="en-GB"/>
        </w:rPr>
        <w:t xml:space="preserve"> standard</w:t>
      </w:r>
      <w:r w:rsidR="00571A6F" w:rsidRPr="006A1414">
        <w:rPr>
          <w:rFonts w:ascii="Arial" w:eastAsia="Calibri" w:hAnsi="Arial" w:cs="Arial"/>
          <w:lang w:val="en-GB"/>
        </w:rPr>
        <w:t xml:space="preserve"> </w:t>
      </w:r>
      <w:r w:rsidRPr="006A1414">
        <w:rPr>
          <w:rFonts w:ascii="Arial" w:eastAsia="Calibri" w:hAnsi="Arial" w:cs="Arial"/>
          <w:lang w:val="en-GB"/>
        </w:rPr>
        <w:t>documents on topics of fundamen</w:t>
      </w:r>
      <w:r w:rsidR="000B0308">
        <w:rPr>
          <w:rFonts w:ascii="Arial" w:eastAsia="Calibri" w:hAnsi="Arial" w:cs="Arial"/>
          <w:lang w:val="en-GB"/>
        </w:rPr>
        <w:t>tal importance to Professional B</w:t>
      </w:r>
      <w:r w:rsidRPr="006A1414">
        <w:rPr>
          <w:rFonts w:ascii="Arial" w:eastAsia="Calibri" w:hAnsi="Arial" w:cs="Arial"/>
          <w:lang w:val="en-GB"/>
        </w:rPr>
        <w:t>ankers. Following a consultation exercise</w:t>
      </w:r>
      <w:r w:rsidR="00571A6F" w:rsidRPr="006A1414">
        <w:rPr>
          <w:rFonts w:ascii="Arial" w:eastAsia="Calibri" w:hAnsi="Arial" w:cs="Arial"/>
          <w:lang w:val="en-GB"/>
        </w:rPr>
        <w:t>,</w:t>
      </w:r>
      <w:r w:rsidRPr="006A1414">
        <w:rPr>
          <w:rFonts w:ascii="Arial" w:eastAsia="Calibri" w:hAnsi="Arial" w:cs="Arial"/>
          <w:lang w:val="en-GB"/>
        </w:rPr>
        <w:t xml:space="preserve"> the committee has now decided to develop a </w:t>
      </w:r>
      <w:r w:rsidR="00571A6F" w:rsidRPr="006A1414">
        <w:rPr>
          <w:rFonts w:ascii="Arial" w:eastAsia="Calibri" w:hAnsi="Arial" w:cs="Arial"/>
          <w:lang w:val="en-GB"/>
        </w:rPr>
        <w:t>sixth</w:t>
      </w:r>
      <w:r w:rsidRPr="006A1414">
        <w:rPr>
          <w:rFonts w:ascii="Arial" w:eastAsia="Calibri" w:hAnsi="Arial" w:cs="Arial"/>
          <w:lang w:val="en-GB"/>
        </w:rPr>
        <w:t xml:space="preserve"> standard for </w:t>
      </w:r>
      <w:r w:rsidR="00571A6F" w:rsidRPr="006A1414">
        <w:rPr>
          <w:rFonts w:ascii="Arial" w:eastAsia="Calibri" w:hAnsi="Arial" w:cs="Arial"/>
          <w:lang w:val="en-GB"/>
        </w:rPr>
        <w:t xml:space="preserve">Treasury Operations </w:t>
      </w:r>
      <w:r w:rsidRPr="006A1414">
        <w:rPr>
          <w:rFonts w:ascii="Arial" w:eastAsia="Calibri" w:hAnsi="Arial" w:cs="Arial"/>
          <w:lang w:val="en-GB"/>
        </w:rPr>
        <w:t>as it is fundamental to any banking education.</w:t>
      </w:r>
    </w:p>
    <w:p w14:paraId="0B6D1CF9" w14:textId="77777777" w:rsidR="006A1414" w:rsidRDefault="006A1414" w:rsidP="006A1414">
      <w:pPr>
        <w:jc w:val="both"/>
        <w:rPr>
          <w:rFonts w:ascii="Arial" w:hAnsi="Arial" w:cs="Arial"/>
          <w:b/>
          <w:sz w:val="24"/>
          <w:szCs w:val="24"/>
        </w:rPr>
      </w:pPr>
      <w:r>
        <w:rPr>
          <w:rFonts w:ascii="Arial" w:hAnsi="Arial" w:cs="Arial"/>
          <w:b/>
          <w:sz w:val="24"/>
          <w:szCs w:val="24"/>
        </w:rPr>
        <w:t>Definition and Scope</w:t>
      </w:r>
    </w:p>
    <w:p w14:paraId="46E49E6F" w14:textId="77777777" w:rsidR="006A1414" w:rsidRPr="006A1414" w:rsidRDefault="006A1414" w:rsidP="006A1414">
      <w:pPr>
        <w:jc w:val="both"/>
        <w:rPr>
          <w:rFonts w:ascii="Arial" w:eastAsia="Calibri" w:hAnsi="Arial" w:cs="Arial"/>
          <w:lang w:val="en-GB"/>
        </w:rPr>
      </w:pPr>
      <w:r w:rsidRPr="006A1414">
        <w:rPr>
          <w:rFonts w:ascii="Arial" w:eastAsia="Calibri" w:hAnsi="Arial" w:cs="Arial"/>
          <w:lang w:val="en-GB"/>
        </w:rPr>
        <w:t>Treasury functions have always assumed importance in Banks. It is no more a supporting department and banks today consider treasury as a profit centre. The functions of treasury are vital for the financial health and success of every bank.</w:t>
      </w:r>
    </w:p>
    <w:p w14:paraId="4B9EE396" w14:textId="1DCE014F" w:rsidR="006A1414" w:rsidRPr="006A1414" w:rsidRDefault="00673A01" w:rsidP="006A1414">
      <w:pPr>
        <w:jc w:val="both"/>
        <w:rPr>
          <w:rFonts w:ascii="Arial" w:eastAsia="Calibri" w:hAnsi="Arial" w:cs="Arial"/>
          <w:lang w:val="en-GB"/>
        </w:rPr>
      </w:pPr>
      <w:r>
        <w:rPr>
          <w:rFonts w:ascii="Arial" w:eastAsia="Calibri" w:hAnsi="Arial" w:cs="Arial"/>
          <w:lang w:val="en-GB"/>
        </w:rPr>
        <w:t>The key goals of</w:t>
      </w:r>
      <w:r w:rsidR="006A1414" w:rsidRPr="006A1414">
        <w:rPr>
          <w:rFonts w:ascii="Arial" w:eastAsia="Calibri" w:hAnsi="Arial" w:cs="Arial"/>
          <w:lang w:val="en-GB"/>
        </w:rPr>
        <w:t xml:space="preserve"> treasury management are planning &amp; managing liquidity, use of resources to maximise returns</w:t>
      </w:r>
      <w:r w:rsidR="00EC041F">
        <w:rPr>
          <w:rFonts w:ascii="Arial" w:eastAsia="Calibri" w:hAnsi="Arial" w:cs="Arial"/>
          <w:lang w:val="en-GB"/>
        </w:rPr>
        <w:t xml:space="preserve"> and</w:t>
      </w:r>
      <w:r w:rsidR="006A1414" w:rsidRPr="006A1414">
        <w:rPr>
          <w:rFonts w:ascii="Arial" w:eastAsia="Calibri" w:hAnsi="Arial" w:cs="Arial"/>
          <w:lang w:val="en-GB"/>
        </w:rPr>
        <w:t xml:space="preserve"> manage &amp; mi</w:t>
      </w:r>
      <w:r w:rsidR="00CA6C15">
        <w:rPr>
          <w:rFonts w:ascii="Arial" w:eastAsia="Calibri" w:hAnsi="Arial" w:cs="Arial"/>
          <w:lang w:val="en-GB"/>
        </w:rPr>
        <w:t>tigate the risks</w:t>
      </w:r>
      <w:r w:rsidR="006A1414" w:rsidRPr="006A1414">
        <w:rPr>
          <w:rFonts w:ascii="Arial" w:eastAsia="Calibri" w:hAnsi="Arial" w:cs="Arial"/>
          <w:lang w:val="en-GB"/>
        </w:rPr>
        <w:t xml:space="preserve">. The treasury also has the responsibility to align its functions to the financial objectives of the organization. In order to manage the three important pillars of treasury, </w:t>
      </w:r>
      <w:proofErr w:type="gramStart"/>
      <w:r w:rsidR="006A1414" w:rsidRPr="006A1414">
        <w:rPr>
          <w:rFonts w:ascii="Arial" w:eastAsia="Calibri" w:hAnsi="Arial" w:cs="Arial"/>
          <w:lang w:val="en-GB"/>
        </w:rPr>
        <w:t>i.e.</w:t>
      </w:r>
      <w:proofErr w:type="gramEnd"/>
      <w:r w:rsidR="006A1414" w:rsidRPr="006A1414">
        <w:rPr>
          <w:rFonts w:ascii="Arial" w:eastAsia="Calibri" w:hAnsi="Arial" w:cs="Arial"/>
          <w:lang w:val="en-GB"/>
        </w:rPr>
        <w:t xml:space="preserve"> liquidity, capital and risk, it is imperat</w:t>
      </w:r>
      <w:r w:rsidR="00EC041F">
        <w:rPr>
          <w:rFonts w:ascii="Arial" w:eastAsia="Calibri" w:hAnsi="Arial" w:cs="Arial"/>
          <w:lang w:val="en-GB"/>
        </w:rPr>
        <w:t xml:space="preserve">ive that people </w:t>
      </w:r>
      <w:r w:rsidR="002A6778">
        <w:rPr>
          <w:rFonts w:ascii="Arial" w:eastAsia="Calibri" w:hAnsi="Arial" w:cs="Arial"/>
          <w:lang w:val="en-GB"/>
        </w:rPr>
        <w:t xml:space="preserve">handling </w:t>
      </w:r>
      <w:r w:rsidR="002A6778" w:rsidRPr="006A1414">
        <w:rPr>
          <w:rFonts w:ascii="Arial" w:eastAsia="Calibri" w:hAnsi="Arial" w:cs="Arial"/>
          <w:lang w:val="en-GB"/>
        </w:rPr>
        <w:t>various</w:t>
      </w:r>
      <w:r w:rsidR="006A1414" w:rsidRPr="006A1414">
        <w:rPr>
          <w:rFonts w:ascii="Arial" w:eastAsia="Calibri" w:hAnsi="Arial" w:cs="Arial"/>
          <w:lang w:val="en-GB"/>
        </w:rPr>
        <w:t xml:space="preserve"> fun</w:t>
      </w:r>
      <w:r w:rsidR="00EC041F">
        <w:rPr>
          <w:rFonts w:ascii="Arial" w:eastAsia="Calibri" w:hAnsi="Arial" w:cs="Arial"/>
          <w:lang w:val="en-GB"/>
        </w:rPr>
        <w:t xml:space="preserve">ctions of the department have </w:t>
      </w:r>
      <w:r w:rsidR="006A1414" w:rsidRPr="006A1414">
        <w:rPr>
          <w:rFonts w:ascii="Arial" w:eastAsia="Calibri" w:hAnsi="Arial" w:cs="Arial"/>
          <w:lang w:val="en-GB"/>
        </w:rPr>
        <w:t>in-depth knowle</w:t>
      </w:r>
      <w:r w:rsidR="003E1E21">
        <w:rPr>
          <w:rFonts w:ascii="Arial" w:eastAsia="Calibri" w:hAnsi="Arial" w:cs="Arial"/>
          <w:lang w:val="en-GB"/>
        </w:rPr>
        <w:t>dge and should be competent</w:t>
      </w:r>
      <w:r w:rsidR="006A1414" w:rsidRPr="006A1414">
        <w:rPr>
          <w:rFonts w:ascii="Arial" w:eastAsia="Calibri" w:hAnsi="Arial" w:cs="Arial"/>
          <w:lang w:val="en-GB"/>
        </w:rPr>
        <w:t>.</w:t>
      </w:r>
    </w:p>
    <w:p w14:paraId="76649DE5" w14:textId="4A56CF1D" w:rsidR="006A1414" w:rsidRPr="006A1414" w:rsidRDefault="000C69F8" w:rsidP="006A1414">
      <w:pPr>
        <w:jc w:val="both"/>
        <w:rPr>
          <w:rFonts w:ascii="Arial" w:eastAsia="Calibri" w:hAnsi="Arial" w:cs="Arial"/>
          <w:lang w:val="en-GB"/>
        </w:rPr>
      </w:pPr>
      <w:r>
        <w:rPr>
          <w:rFonts w:ascii="Arial" w:eastAsia="Calibri" w:hAnsi="Arial" w:cs="Arial"/>
          <w:lang w:val="en-GB"/>
        </w:rPr>
        <w:t>With</w:t>
      </w:r>
      <w:r w:rsidR="006A1414" w:rsidRPr="006A1414">
        <w:rPr>
          <w:rFonts w:ascii="Arial" w:eastAsia="Calibri" w:hAnsi="Arial" w:cs="Arial"/>
          <w:lang w:val="en-GB"/>
        </w:rPr>
        <w:t xml:space="preserve"> volatility in the market cuttin</w:t>
      </w:r>
      <w:r>
        <w:rPr>
          <w:rFonts w:ascii="Arial" w:eastAsia="Calibri" w:hAnsi="Arial" w:cs="Arial"/>
          <w:lang w:val="en-GB"/>
        </w:rPr>
        <w:t>g across countries, managing</w:t>
      </w:r>
      <w:r w:rsidR="006A1414" w:rsidRPr="006A1414">
        <w:rPr>
          <w:rFonts w:ascii="Arial" w:eastAsia="Calibri" w:hAnsi="Arial" w:cs="Arial"/>
          <w:lang w:val="en-GB"/>
        </w:rPr>
        <w:t xml:space="preserve"> treasury has become more complex especially with ever-changing liquidity and interest rate scenarios. Most of the Banks are now recognising the importance of treasury management for ensuring optimum liquidity, create a robust portfolio and manage &amp; mitigate risks.</w:t>
      </w:r>
    </w:p>
    <w:p w14:paraId="44D9D53B" w14:textId="6A932AF4" w:rsidR="006A1414" w:rsidRDefault="000C69F8" w:rsidP="006A1414">
      <w:pPr>
        <w:jc w:val="both"/>
        <w:rPr>
          <w:rFonts w:ascii="Arial" w:eastAsia="Calibri" w:hAnsi="Arial" w:cs="Arial"/>
          <w:lang w:val="en-GB"/>
        </w:rPr>
      </w:pPr>
      <w:r>
        <w:rPr>
          <w:rFonts w:ascii="Arial" w:eastAsia="Calibri" w:hAnsi="Arial" w:cs="Arial"/>
          <w:lang w:val="en-GB"/>
        </w:rPr>
        <w:t>This</w:t>
      </w:r>
      <w:r w:rsidR="006A1414" w:rsidRPr="006A1414">
        <w:rPr>
          <w:rFonts w:ascii="Arial" w:eastAsia="Calibri" w:hAnsi="Arial" w:cs="Arial"/>
          <w:lang w:val="en-GB"/>
        </w:rPr>
        <w:t xml:space="preserve"> document will dwell upon the scope of treasury, various aspects of treasury management including the three pillars. It will cover important departments within Treasury</w:t>
      </w:r>
      <w:r w:rsidR="006A1414">
        <w:rPr>
          <w:rFonts w:ascii="Arial" w:eastAsia="Calibri" w:hAnsi="Arial" w:cs="Arial"/>
          <w:lang w:val="en-GB"/>
        </w:rPr>
        <w:t xml:space="preserve"> </w:t>
      </w:r>
      <w:r w:rsidR="006A1414" w:rsidRPr="006A1414">
        <w:rPr>
          <w:rFonts w:ascii="Arial" w:eastAsia="Calibri" w:hAnsi="Arial" w:cs="Arial"/>
          <w:lang w:val="en-GB"/>
        </w:rPr>
        <w:t>across the functions of Front Office, Mid-</w:t>
      </w:r>
      <w:proofErr w:type="gramStart"/>
      <w:r w:rsidR="006A1414" w:rsidRPr="006A1414">
        <w:rPr>
          <w:rFonts w:ascii="Arial" w:eastAsia="Calibri" w:hAnsi="Arial" w:cs="Arial"/>
          <w:lang w:val="en-GB"/>
        </w:rPr>
        <w:t>Office</w:t>
      </w:r>
      <w:proofErr w:type="gramEnd"/>
      <w:r w:rsidR="006A1414" w:rsidRPr="006A1414">
        <w:rPr>
          <w:rFonts w:ascii="Arial" w:eastAsia="Calibri" w:hAnsi="Arial" w:cs="Arial"/>
          <w:lang w:val="en-GB"/>
        </w:rPr>
        <w:t xml:space="preserve"> and Back Office, such as: </w:t>
      </w:r>
    </w:p>
    <w:p w14:paraId="407DEC7A" w14:textId="77777777" w:rsidR="006A1414" w:rsidRDefault="006A1414" w:rsidP="006A1414">
      <w:pPr>
        <w:jc w:val="both"/>
        <w:rPr>
          <w:rFonts w:ascii="Arial" w:eastAsia="Calibri" w:hAnsi="Arial" w:cs="Arial"/>
          <w:lang w:val="en-GB"/>
        </w:rPr>
      </w:pPr>
      <w:r w:rsidRPr="006A1414">
        <w:rPr>
          <w:rFonts w:ascii="Arial" w:eastAsia="Calibri" w:hAnsi="Arial" w:cs="Arial"/>
          <w:lang w:val="en-GB"/>
        </w:rPr>
        <w:t xml:space="preserve">(1) Fixed Income Money Market, </w:t>
      </w:r>
    </w:p>
    <w:p w14:paraId="32571B94" w14:textId="77777777" w:rsidR="006A1414" w:rsidRDefault="006A1414" w:rsidP="006A1414">
      <w:pPr>
        <w:jc w:val="both"/>
        <w:rPr>
          <w:rFonts w:ascii="Arial" w:eastAsia="Calibri" w:hAnsi="Arial" w:cs="Arial"/>
          <w:lang w:val="en-GB"/>
        </w:rPr>
      </w:pPr>
      <w:r w:rsidRPr="006A1414">
        <w:rPr>
          <w:rFonts w:ascii="Arial" w:eastAsia="Calibri" w:hAnsi="Arial" w:cs="Arial"/>
          <w:lang w:val="en-GB"/>
        </w:rPr>
        <w:t xml:space="preserve">(2) Foreign Exchange, </w:t>
      </w:r>
    </w:p>
    <w:p w14:paraId="601715F9" w14:textId="77777777" w:rsidR="006A1414" w:rsidRDefault="006A1414" w:rsidP="006A1414">
      <w:pPr>
        <w:jc w:val="both"/>
        <w:rPr>
          <w:rFonts w:ascii="Arial" w:eastAsia="Calibri" w:hAnsi="Arial" w:cs="Arial"/>
          <w:lang w:val="en-GB"/>
        </w:rPr>
      </w:pPr>
      <w:r w:rsidRPr="006A1414">
        <w:rPr>
          <w:rFonts w:ascii="Arial" w:eastAsia="Calibri" w:hAnsi="Arial" w:cs="Arial"/>
          <w:lang w:val="en-GB"/>
        </w:rPr>
        <w:t xml:space="preserve">(3) Capital Markets/Equity Markets and </w:t>
      </w:r>
    </w:p>
    <w:p w14:paraId="744C08F2" w14:textId="77777777" w:rsidR="006A1414" w:rsidRDefault="006A1414" w:rsidP="006A1414">
      <w:pPr>
        <w:jc w:val="both"/>
        <w:rPr>
          <w:rFonts w:ascii="Arial" w:eastAsia="Calibri" w:hAnsi="Arial" w:cs="Arial"/>
          <w:lang w:val="en-GB"/>
        </w:rPr>
      </w:pPr>
      <w:r w:rsidRPr="006A1414">
        <w:rPr>
          <w:rFonts w:ascii="Arial" w:eastAsia="Calibri" w:hAnsi="Arial" w:cs="Arial"/>
          <w:lang w:val="en-GB"/>
        </w:rPr>
        <w:t xml:space="preserve">(4) Asset Liability Management, </w:t>
      </w:r>
    </w:p>
    <w:p w14:paraId="0D0A457E" w14:textId="0C6A412E" w:rsidR="006A1414" w:rsidRPr="006A1414" w:rsidRDefault="006A1414" w:rsidP="006A1414">
      <w:pPr>
        <w:jc w:val="both"/>
        <w:rPr>
          <w:rFonts w:ascii="Arial" w:eastAsia="Calibri" w:hAnsi="Arial" w:cs="Arial"/>
          <w:lang w:val="en-GB"/>
        </w:rPr>
      </w:pPr>
      <w:r w:rsidRPr="006A1414">
        <w:rPr>
          <w:rFonts w:ascii="Arial" w:eastAsia="Calibri" w:hAnsi="Arial" w:cs="Arial"/>
          <w:lang w:val="en-GB"/>
        </w:rPr>
        <w:t xml:space="preserve">Treasury Standards should serve as the benchmark of competency of treasury professionals. </w:t>
      </w:r>
    </w:p>
    <w:p w14:paraId="305CB5A6" w14:textId="77777777" w:rsidR="005E02DC" w:rsidRDefault="008C02C7" w:rsidP="00AC783E">
      <w:pPr>
        <w:jc w:val="both"/>
        <w:rPr>
          <w:rFonts w:ascii="Arial" w:hAnsi="Arial" w:cs="Arial"/>
        </w:rPr>
      </w:pPr>
      <w:r w:rsidRPr="00F238E1">
        <w:rPr>
          <w:rFonts w:cstheme="minorHAnsi"/>
          <w:noProof/>
          <w:sz w:val="24"/>
          <w:szCs w:val="24"/>
          <w:lang w:eastAsia="en-IN"/>
        </w:rPr>
        <w:lastRenderedPageBreak/>
        <w:drawing>
          <wp:anchor distT="0" distB="0" distL="114300" distR="114300" simplePos="0" relativeHeight="251658240" behindDoc="0" locked="0" layoutInCell="1" allowOverlap="1" wp14:anchorId="79153925" wp14:editId="0F80A7FE">
            <wp:simplePos x="4933950" y="914400"/>
            <wp:positionH relativeFrom="column">
              <wp:align>right</wp:align>
            </wp:positionH>
            <wp:positionV relativeFrom="paragraph">
              <wp:align>top</wp:align>
            </wp:positionV>
            <wp:extent cx="1714500" cy="607930"/>
            <wp:effectExtent l="0" t="0" r="0" b="1905"/>
            <wp:wrapSquare wrapText="bothSides"/>
            <wp:docPr id="3" name="Picture 3"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7930"/>
                    </a:xfrm>
                    <a:prstGeom prst="rect">
                      <a:avLst/>
                    </a:prstGeom>
                    <a:noFill/>
                    <a:ln>
                      <a:noFill/>
                    </a:ln>
                  </pic:spPr>
                </pic:pic>
              </a:graphicData>
            </a:graphic>
          </wp:anchor>
        </w:drawing>
      </w:r>
      <w:r w:rsidR="00AC783E">
        <w:rPr>
          <w:rFonts w:cstheme="minorHAnsi"/>
          <w:sz w:val="24"/>
          <w:szCs w:val="24"/>
        </w:rPr>
        <w:br w:type="textWrapping" w:clear="all"/>
      </w:r>
    </w:p>
    <w:p w14:paraId="2DD8AAD1" w14:textId="77D66C79" w:rsidR="006A1414" w:rsidRPr="00F238E1" w:rsidRDefault="00AC783E" w:rsidP="0076724B">
      <w:pPr>
        <w:jc w:val="both"/>
        <w:rPr>
          <w:rFonts w:cstheme="minorHAnsi"/>
          <w:sz w:val="24"/>
          <w:szCs w:val="24"/>
        </w:rPr>
      </w:pPr>
      <w:r w:rsidRPr="0064737E">
        <w:rPr>
          <w:rFonts w:ascii="Arial" w:hAnsi="Arial" w:cs="Arial"/>
        </w:rPr>
        <w:t xml:space="preserve">The Standard is primarily written for </w:t>
      </w:r>
      <w:proofErr w:type="spellStart"/>
      <w:r>
        <w:rPr>
          <w:rFonts w:ascii="Arial" w:hAnsi="Arial" w:cs="Arial"/>
        </w:rPr>
        <w:t>GBEStB</w:t>
      </w:r>
      <w:proofErr w:type="spellEnd"/>
      <w:r>
        <w:rPr>
          <w:rFonts w:ascii="Arial" w:hAnsi="Arial" w:cs="Arial"/>
        </w:rPr>
        <w:t xml:space="preserve"> </w:t>
      </w:r>
      <w:r w:rsidRPr="0064737E">
        <w:rPr>
          <w:rFonts w:ascii="Arial" w:hAnsi="Arial" w:cs="Arial"/>
        </w:rPr>
        <w:t>member</w:t>
      </w:r>
      <w:r>
        <w:rPr>
          <w:rFonts w:ascii="Arial" w:hAnsi="Arial" w:cs="Arial"/>
        </w:rPr>
        <w:t xml:space="preserve"> bodies, but may also </w:t>
      </w:r>
      <w:r w:rsidRPr="0064737E">
        <w:rPr>
          <w:rFonts w:ascii="Arial" w:hAnsi="Arial" w:cs="Arial"/>
        </w:rPr>
        <w:t xml:space="preserve">be helpful to a wide range of stakeholders </w:t>
      </w:r>
      <w:r>
        <w:rPr>
          <w:rFonts w:ascii="Arial" w:hAnsi="Arial" w:cs="Arial"/>
        </w:rPr>
        <w:t>involved in the education and tr</w:t>
      </w:r>
      <w:r w:rsidR="0076724B">
        <w:rPr>
          <w:rFonts w:ascii="Arial" w:hAnsi="Arial" w:cs="Arial"/>
        </w:rPr>
        <w:t>aining of banking professionals.</w:t>
      </w:r>
    </w:p>
    <w:p w14:paraId="0A73949B" w14:textId="4F5D72EC" w:rsidR="000549C1" w:rsidRPr="00F70F37" w:rsidRDefault="00F70F37" w:rsidP="00F70F37">
      <w:pPr>
        <w:jc w:val="both"/>
        <w:rPr>
          <w:rFonts w:ascii="Arial" w:hAnsi="Arial" w:cs="Arial"/>
          <w:b/>
          <w:sz w:val="24"/>
          <w:szCs w:val="24"/>
        </w:rPr>
      </w:pPr>
      <w:r>
        <w:rPr>
          <w:rFonts w:ascii="Arial" w:hAnsi="Arial" w:cs="Arial"/>
          <w:b/>
          <w:sz w:val="24"/>
          <w:szCs w:val="24"/>
        </w:rPr>
        <w:t>Purpose</w:t>
      </w:r>
    </w:p>
    <w:p w14:paraId="0F18A666" w14:textId="7E5D5C4E" w:rsidR="000549C1" w:rsidRPr="00F70F37" w:rsidRDefault="000549C1" w:rsidP="00210F42">
      <w:pPr>
        <w:jc w:val="both"/>
        <w:rPr>
          <w:rFonts w:ascii="Arial" w:eastAsia="Calibri" w:hAnsi="Arial" w:cs="Arial"/>
          <w:lang w:val="en-GB"/>
        </w:rPr>
      </w:pPr>
      <w:r w:rsidRPr="00F70F37">
        <w:rPr>
          <w:rFonts w:ascii="Arial" w:eastAsia="Calibri" w:hAnsi="Arial" w:cs="Arial"/>
          <w:lang w:val="en-GB"/>
        </w:rPr>
        <w:t>The standard prepared for treasury professionals by GBEStB is designed to create a pool of knowledgeable and competent professionals in the areas of Treasury Management through Certification and Training, who can effectively discharge the roles and re</w:t>
      </w:r>
      <w:r w:rsidR="000131BB" w:rsidRPr="00F70F37">
        <w:rPr>
          <w:rFonts w:ascii="Arial" w:eastAsia="Calibri" w:hAnsi="Arial" w:cs="Arial"/>
          <w:lang w:val="en-GB"/>
        </w:rPr>
        <w:t>sponsibilities assigned to them. The standards developed by GBEStB will ensure that the necessary concepts and theories of Treasury Management are included to develop knowledge and skill, which will lead to the success o</w:t>
      </w:r>
      <w:r w:rsidR="005117D9">
        <w:rPr>
          <w:rFonts w:ascii="Arial" w:eastAsia="Calibri" w:hAnsi="Arial" w:cs="Arial"/>
          <w:lang w:val="en-GB"/>
        </w:rPr>
        <w:t>f treasury professionals. As a</w:t>
      </w:r>
      <w:r w:rsidR="000131BB" w:rsidRPr="00F70F37">
        <w:rPr>
          <w:rFonts w:ascii="Arial" w:eastAsia="Calibri" w:hAnsi="Arial" w:cs="Arial"/>
          <w:lang w:val="en-GB"/>
        </w:rPr>
        <w:t xml:space="preserve"> large part of Treasury Management constitutes anticipating and preparing for the future</w:t>
      </w:r>
      <w:r w:rsidR="00210F42" w:rsidRPr="00F70F37">
        <w:rPr>
          <w:rFonts w:ascii="Arial" w:eastAsia="Calibri" w:hAnsi="Arial" w:cs="Arial"/>
          <w:lang w:val="en-GB"/>
        </w:rPr>
        <w:t>, the treasury professionals should acquire adequate skills to plan, organise and manage the or</w:t>
      </w:r>
      <w:r w:rsidR="00EA2273" w:rsidRPr="00F70F37">
        <w:rPr>
          <w:rFonts w:ascii="Arial" w:eastAsia="Calibri" w:hAnsi="Arial" w:cs="Arial"/>
          <w:lang w:val="en-GB"/>
        </w:rPr>
        <w:t>ga</w:t>
      </w:r>
      <w:r w:rsidR="00210F42" w:rsidRPr="00F70F37">
        <w:rPr>
          <w:rFonts w:ascii="Arial" w:eastAsia="Calibri" w:hAnsi="Arial" w:cs="Arial"/>
          <w:lang w:val="en-GB"/>
        </w:rPr>
        <w:t>nizational resources.</w:t>
      </w:r>
    </w:p>
    <w:p w14:paraId="3FB45159" w14:textId="77777777" w:rsidR="00C70B02" w:rsidRPr="00F70F37"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The standard created by GBEStB is meant not only for the member institutions, but others who are involved in training and education of banking professionals, such as:</w:t>
      </w:r>
    </w:p>
    <w:p w14:paraId="03A1A950" w14:textId="77777777" w:rsidR="00C70B02" w:rsidRPr="00F70F37"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1. Banks</w:t>
      </w:r>
    </w:p>
    <w:p w14:paraId="6BE91DB4" w14:textId="77777777" w:rsidR="00C70B02" w:rsidRPr="00F70F37"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2. Financial Institutions</w:t>
      </w:r>
    </w:p>
    <w:p w14:paraId="692572B5" w14:textId="77777777" w:rsidR="00C70B02" w:rsidRPr="00F70F37"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3. Corporates</w:t>
      </w:r>
    </w:p>
    <w:p w14:paraId="5CAE6E62" w14:textId="77777777" w:rsidR="00C70B02" w:rsidRPr="00F70F37"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4. Professional Institutions/ Colleges</w:t>
      </w:r>
    </w:p>
    <w:p w14:paraId="2ACD7D45" w14:textId="43B0DE4C" w:rsidR="00C70B02" w:rsidRDefault="00C70B02" w:rsidP="00C70B02">
      <w:pPr>
        <w:spacing w:after="0" w:line="240" w:lineRule="auto"/>
        <w:jc w:val="both"/>
        <w:rPr>
          <w:rFonts w:ascii="Arial" w:eastAsia="Calibri" w:hAnsi="Arial" w:cs="Arial"/>
          <w:lang w:val="en-GB"/>
        </w:rPr>
      </w:pPr>
      <w:r w:rsidRPr="00F70F37">
        <w:rPr>
          <w:rFonts w:ascii="Arial" w:eastAsia="Calibri" w:hAnsi="Arial" w:cs="Arial"/>
          <w:lang w:val="en-GB"/>
        </w:rPr>
        <w:t>5. Regulators</w:t>
      </w:r>
    </w:p>
    <w:p w14:paraId="734CE8D7" w14:textId="23185D6D" w:rsidR="00244CFB" w:rsidRPr="00F70F37" w:rsidRDefault="00244CFB" w:rsidP="00C70B02">
      <w:pPr>
        <w:spacing w:after="0" w:line="240" w:lineRule="auto"/>
        <w:jc w:val="both"/>
        <w:rPr>
          <w:rFonts w:ascii="Arial" w:eastAsia="Calibri" w:hAnsi="Arial" w:cs="Arial"/>
          <w:lang w:val="en-GB"/>
        </w:rPr>
      </w:pPr>
      <w:r>
        <w:rPr>
          <w:rFonts w:ascii="Arial" w:eastAsia="Calibri" w:hAnsi="Arial" w:cs="Arial"/>
          <w:lang w:val="en-GB"/>
        </w:rPr>
        <w:t>6. Government authorities</w:t>
      </w:r>
    </w:p>
    <w:p w14:paraId="533B5CC5" w14:textId="77777777" w:rsidR="001C0E3E" w:rsidRDefault="001C0E3E" w:rsidP="001C0E3E">
      <w:pPr>
        <w:spacing w:after="0" w:line="240" w:lineRule="auto"/>
        <w:jc w:val="both"/>
        <w:rPr>
          <w:rFonts w:ascii="Arial" w:hAnsi="Arial" w:cs="Arial"/>
          <w:b/>
          <w:sz w:val="24"/>
          <w:szCs w:val="24"/>
        </w:rPr>
      </w:pPr>
    </w:p>
    <w:p w14:paraId="74990AC4" w14:textId="7B56FD2B" w:rsidR="00DE4435" w:rsidRPr="00F70F37" w:rsidRDefault="00F70F37" w:rsidP="00F70F37">
      <w:pPr>
        <w:jc w:val="both"/>
        <w:rPr>
          <w:rFonts w:ascii="Arial" w:hAnsi="Arial" w:cs="Arial"/>
          <w:b/>
          <w:sz w:val="24"/>
          <w:szCs w:val="24"/>
        </w:rPr>
      </w:pPr>
      <w:r>
        <w:rPr>
          <w:rFonts w:ascii="Arial" w:hAnsi="Arial" w:cs="Arial"/>
          <w:b/>
          <w:sz w:val="24"/>
          <w:szCs w:val="24"/>
        </w:rPr>
        <w:t>Format</w:t>
      </w:r>
    </w:p>
    <w:p w14:paraId="2E3EEAEE" w14:textId="6BD9CA5E" w:rsidR="00DE4435" w:rsidRDefault="00DE4435" w:rsidP="00DE4435">
      <w:pPr>
        <w:jc w:val="both"/>
        <w:rPr>
          <w:rFonts w:ascii="Arial" w:eastAsia="Calibri" w:hAnsi="Arial" w:cs="Arial"/>
          <w:lang w:val="en-GB"/>
        </w:rPr>
      </w:pPr>
      <w:r w:rsidRPr="00CB57AF">
        <w:rPr>
          <w:rFonts w:ascii="Arial" w:eastAsia="Calibri" w:hAnsi="Arial" w:cs="Arial"/>
          <w:lang w:val="en-GB"/>
        </w:rPr>
        <w:t>The standards on Treasury Management for Professional Bankers contains recommendations which it expects all GBEStB member institutions to strive to comply with, and guidance which it expects GBEStB member bodies to consider when implementing the standard.</w:t>
      </w:r>
    </w:p>
    <w:p w14:paraId="3EC76B54" w14:textId="64413979" w:rsidR="00DE4435" w:rsidRPr="00CB57AF" w:rsidRDefault="00CB57AF" w:rsidP="00CB57AF">
      <w:pPr>
        <w:jc w:val="both"/>
        <w:rPr>
          <w:rFonts w:ascii="Arial" w:hAnsi="Arial" w:cs="Arial"/>
          <w:b/>
          <w:sz w:val="24"/>
          <w:szCs w:val="24"/>
        </w:rPr>
      </w:pPr>
      <w:r>
        <w:rPr>
          <w:rFonts w:ascii="Arial" w:hAnsi="Arial" w:cs="Arial"/>
          <w:b/>
          <w:sz w:val="24"/>
          <w:szCs w:val="24"/>
        </w:rPr>
        <w:t>Translation</w:t>
      </w:r>
    </w:p>
    <w:p w14:paraId="036D3835" w14:textId="409D0F98" w:rsidR="007015A2" w:rsidRPr="00792B6D" w:rsidRDefault="007015A2" w:rsidP="00DE4435">
      <w:pPr>
        <w:rPr>
          <w:rFonts w:ascii="Arial" w:hAnsi="Arial" w:cs="Arial"/>
          <w:sz w:val="24"/>
          <w:szCs w:val="24"/>
        </w:rPr>
      </w:pPr>
      <w:proofErr w:type="spellStart"/>
      <w:r w:rsidRPr="00792B6D">
        <w:rPr>
          <w:rFonts w:ascii="Arial" w:hAnsi="Arial" w:cs="Arial"/>
          <w:sz w:val="24"/>
          <w:szCs w:val="24"/>
        </w:rPr>
        <w:t>GBEStB</w:t>
      </w:r>
      <w:proofErr w:type="spellEnd"/>
      <w:r w:rsidRPr="00792B6D">
        <w:rPr>
          <w:rFonts w:ascii="Arial" w:hAnsi="Arial" w:cs="Arial"/>
          <w:sz w:val="24"/>
          <w:szCs w:val="24"/>
        </w:rPr>
        <w:t xml:space="preserve"> publishes its Standards in English. </w:t>
      </w:r>
      <w:proofErr w:type="spellStart"/>
      <w:r w:rsidRPr="00792B6D">
        <w:rPr>
          <w:rFonts w:ascii="Arial" w:hAnsi="Arial" w:cs="Arial"/>
          <w:sz w:val="24"/>
          <w:szCs w:val="24"/>
        </w:rPr>
        <w:t>GBEStB</w:t>
      </w:r>
      <w:proofErr w:type="spellEnd"/>
      <w:r w:rsidRPr="00792B6D">
        <w:rPr>
          <w:rFonts w:ascii="Arial" w:hAnsi="Arial" w:cs="Arial"/>
          <w:sz w:val="24"/>
          <w:szCs w:val="24"/>
        </w:rPr>
        <w:t xml:space="preserve"> member bodies may, at their expense and with written permission from the </w:t>
      </w:r>
      <w:proofErr w:type="spellStart"/>
      <w:r w:rsidRPr="00792B6D">
        <w:rPr>
          <w:rFonts w:ascii="Arial" w:hAnsi="Arial" w:cs="Arial"/>
          <w:sz w:val="24"/>
          <w:szCs w:val="24"/>
        </w:rPr>
        <w:t>GBEStB’s</w:t>
      </w:r>
      <w:proofErr w:type="spellEnd"/>
      <w:r w:rsidRPr="00792B6D">
        <w:rPr>
          <w:rFonts w:ascii="Arial" w:hAnsi="Arial" w:cs="Arial"/>
          <w:sz w:val="24"/>
          <w:szCs w:val="24"/>
        </w:rPr>
        <w:t xml:space="preserve"> Education</w:t>
      </w:r>
      <w:r w:rsidR="00006CB2">
        <w:rPr>
          <w:rFonts w:ascii="Arial" w:hAnsi="Arial" w:cs="Arial"/>
          <w:sz w:val="24"/>
          <w:szCs w:val="24"/>
        </w:rPr>
        <w:t xml:space="preserve"> Standards Committee, translate</w:t>
      </w:r>
      <w:r w:rsidRPr="00792B6D">
        <w:rPr>
          <w:rFonts w:ascii="Arial" w:hAnsi="Arial" w:cs="Arial"/>
          <w:sz w:val="24"/>
          <w:szCs w:val="24"/>
        </w:rPr>
        <w:t xml:space="preserve"> this Standard into other languages. </w:t>
      </w:r>
      <w:proofErr w:type="spellStart"/>
      <w:r w:rsidRPr="00792B6D">
        <w:rPr>
          <w:rFonts w:ascii="Arial" w:hAnsi="Arial" w:cs="Arial"/>
          <w:sz w:val="24"/>
          <w:szCs w:val="24"/>
        </w:rPr>
        <w:t>GBEStB</w:t>
      </w:r>
      <w:proofErr w:type="spellEnd"/>
      <w:r w:rsidRPr="00792B6D">
        <w:rPr>
          <w:rFonts w:ascii="Arial" w:hAnsi="Arial" w:cs="Arial"/>
          <w:sz w:val="24"/>
          <w:szCs w:val="24"/>
        </w:rPr>
        <w:t xml:space="preserve"> member bodies will ensure that:</w:t>
      </w:r>
    </w:p>
    <w:p w14:paraId="1011EFB2" w14:textId="77777777" w:rsidR="007015A2" w:rsidRPr="00792B6D" w:rsidRDefault="007015A2" w:rsidP="00C8679A">
      <w:pPr>
        <w:pStyle w:val="ListParagraph"/>
        <w:numPr>
          <w:ilvl w:val="0"/>
          <w:numId w:val="1"/>
        </w:numPr>
        <w:rPr>
          <w:rFonts w:ascii="Arial" w:hAnsi="Arial" w:cs="Arial"/>
          <w:sz w:val="24"/>
          <w:szCs w:val="24"/>
        </w:rPr>
      </w:pPr>
      <w:r w:rsidRPr="00792B6D">
        <w:rPr>
          <w:rFonts w:ascii="Arial" w:hAnsi="Arial" w:cs="Arial"/>
          <w:sz w:val="24"/>
          <w:szCs w:val="24"/>
        </w:rPr>
        <w:t>Any translation is accurate and faithful to the original Standard.</w:t>
      </w:r>
    </w:p>
    <w:p w14:paraId="1B253A1C" w14:textId="77777777" w:rsidR="00C8679A" w:rsidRPr="00792B6D" w:rsidRDefault="00C8679A" w:rsidP="00C8679A">
      <w:pPr>
        <w:pStyle w:val="ListParagraph"/>
        <w:numPr>
          <w:ilvl w:val="0"/>
          <w:numId w:val="1"/>
        </w:numPr>
        <w:rPr>
          <w:rFonts w:ascii="Arial" w:hAnsi="Arial" w:cs="Arial"/>
          <w:sz w:val="24"/>
          <w:szCs w:val="24"/>
        </w:rPr>
      </w:pPr>
      <w:r w:rsidRPr="00792B6D">
        <w:rPr>
          <w:rFonts w:ascii="Arial" w:hAnsi="Arial" w:cs="Arial"/>
          <w:sz w:val="24"/>
          <w:szCs w:val="24"/>
        </w:rPr>
        <w:t xml:space="preserve">Copyright in original and translated forms remains with </w:t>
      </w:r>
      <w:proofErr w:type="spellStart"/>
      <w:r w:rsidRPr="00792B6D">
        <w:rPr>
          <w:rFonts w:ascii="Arial" w:hAnsi="Arial" w:cs="Arial"/>
          <w:sz w:val="24"/>
          <w:szCs w:val="24"/>
        </w:rPr>
        <w:t>GBEStB</w:t>
      </w:r>
      <w:proofErr w:type="spellEnd"/>
      <w:r w:rsidRPr="00792B6D">
        <w:rPr>
          <w:rFonts w:ascii="Arial" w:hAnsi="Arial" w:cs="Arial"/>
          <w:sz w:val="24"/>
          <w:szCs w:val="24"/>
        </w:rPr>
        <w:t>.</w:t>
      </w:r>
    </w:p>
    <w:p w14:paraId="7E3311B8" w14:textId="77777777" w:rsidR="00C8679A" w:rsidRPr="00792B6D" w:rsidRDefault="00C8679A" w:rsidP="00C8679A">
      <w:pPr>
        <w:pStyle w:val="ListParagraph"/>
        <w:numPr>
          <w:ilvl w:val="0"/>
          <w:numId w:val="1"/>
        </w:numPr>
        <w:rPr>
          <w:rFonts w:ascii="Arial" w:hAnsi="Arial" w:cs="Arial"/>
          <w:sz w:val="24"/>
          <w:szCs w:val="24"/>
        </w:rPr>
      </w:pPr>
      <w:r w:rsidRPr="00792B6D">
        <w:rPr>
          <w:rFonts w:ascii="Arial" w:hAnsi="Arial" w:cs="Arial"/>
          <w:sz w:val="24"/>
          <w:szCs w:val="24"/>
        </w:rPr>
        <w:t>No commercial use of the Standard or translation is permitted; and</w:t>
      </w:r>
    </w:p>
    <w:p w14:paraId="4F8EBC90" w14:textId="77777777" w:rsidR="00A821C4" w:rsidRDefault="00C8679A" w:rsidP="00A821C4">
      <w:pPr>
        <w:pStyle w:val="ListParagraph"/>
        <w:numPr>
          <w:ilvl w:val="0"/>
          <w:numId w:val="1"/>
        </w:numPr>
        <w:rPr>
          <w:rFonts w:ascii="Arial" w:hAnsi="Arial" w:cs="Arial"/>
          <w:sz w:val="24"/>
          <w:szCs w:val="24"/>
        </w:rPr>
      </w:pPr>
      <w:r w:rsidRPr="00792B6D">
        <w:rPr>
          <w:rFonts w:ascii="Arial" w:hAnsi="Arial" w:cs="Arial"/>
          <w:sz w:val="24"/>
          <w:szCs w:val="24"/>
        </w:rPr>
        <w:t>In the event of any dispute, the English version of the Standard shall prevail.</w:t>
      </w:r>
    </w:p>
    <w:p w14:paraId="73DC6C84" w14:textId="719DFB69" w:rsidR="001C0E3E" w:rsidRDefault="001C0E3E" w:rsidP="00A821C4">
      <w:pPr>
        <w:pStyle w:val="ListParagraph"/>
        <w:numPr>
          <w:ilvl w:val="0"/>
          <w:numId w:val="1"/>
        </w:numPr>
        <w:rPr>
          <w:rFonts w:ascii="Arial" w:hAnsi="Arial" w:cs="Arial"/>
          <w:sz w:val="24"/>
          <w:szCs w:val="24"/>
        </w:rPr>
      </w:pPr>
      <w:r w:rsidRPr="00A821C4">
        <w:rPr>
          <w:rFonts w:ascii="Arial" w:hAnsi="Arial" w:cs="Arial"/>
          <w:sz w:val="24"/>
          <w:szCs w:val="24"/>
        </w:rPr>
        <w:t xml:space="preserve">The </w:t>
      </w:r>
      <w:proofErr w:type="spellStart"/>
      <w:r w:rsidRPr="00A821C4">
        <w:rPr>
          <w:rFonts w:ascii="Arial" w:hAnsi="Arial" w:cs="Arial"/>
          <w:sz w:val="24"/>
          <w:szCs w:val="24"/>
        </w:rPr>
        <w:t>GBEStB</w:t>
      </w:r>
      <w:proofErr w:type="spellEnd"/>
      <w:r w:rsidRPr="00A821C4">
        <w:rPr>
          <w:rFonts w:ascii="Arial" w:hAnsi="Arial" w:cs="Arial"/>
          <w:sz w:val="24"/>
          <w:szCs w:val="24"/>
        </w:rPr>
        <w:t xml:space="preserve"> logo should appear on all works</w:t>
      </w:r>
      <w:r w:rsidR="00A821C4">
        <w:rPr>
          <w:rFonts w:ascii="Arial" w:hAnsi="Arial" w:cs="Arial"/>
          <w:sz w:val="24"/>
          <w:szCs w:val="24"/>
        </w:rPr>
        <w:t>.</w:t>
      </w:r>
    </w:p>
    <w:p w14:paraId="54C2DCE2" w14:textId="58106599" w:rsidR="00BC2C95" w:rsidRDefault="00BC2C95" w:rsidP="00BC2C95">
      <w:pPr>
        <w:rPr>
          <w:rFonts w:ascii="Arial" w:hAnsi="Arial" w:cs="Arial"/>
          <w:sz w:val="24"/>
          <w:szCs w:val="24"/>
        </w:rPr>
      </w:pPr>
    </w:p>
    <w:p w14:paraId="08168024" w14:textId="77777777" w:rsidR="00BC2C95" w:rsidRPr="00BC2C95" w:rsidRDefault="00BC2C95" w:rsidP="00BC2C95">
      <w:pPr>
        <w:rPr>
          <w:rFonts w:ascii="Arial" w:hAnsi="Arial" w:cs="Arial"/>
          <w:sz w:val="24"/>
          <w:szCs w:val="24"/>
        </w:rPr>
      </w:pPr>
    </w:p>
    <w:p w14:paraId="306F327A" w14:textId="2D101298" w:rsidR="00AC783E" w:rsidRDefault="001C0E3E" w:rsidP="001C0E3E">
      <w:pPr>
        <w:spacing w:after="200" w:line="276" w:lineRule="auto"/>
        <w:ind w:left="720"/>
        <w:jc w:val="right"/>
        <w:rPr>
          <w:rFonts w:ascii="Arial" w:hAnsi="Arial" w:cs="Arial"/>
        </w:rPr>
      </w:pPr>
      <w:r w:rsidRPr="00F238E1">
        <w:rPr>
          <w:rFonts w:cstheme="minorHAnsi"/>
          <w:noProof/>
          <w:sz w:val="24"/>
          <w:szCs w:val="24"/>
          <w:lang w:eastAsia="en-IN"/>
        </w:rPr>
        <w:lastRenderedPageBreak/>
        <w:drawing>
          <wp:inline distT="0" distB="0" distL="0" distR="0" wp14:anchorId="10E95838" wp14:editId="62EA21A7">
            <wp:extent cx="1714500" cy="607930"/>
            <wp:effectExtent l="0" t="0" r="0" b="1905"/>
            <wp:docPr id="4" name="Picture 4"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003A8827" w14:textId="00889961" w:rsidR="00C8679A" w:rsidRPr="00EA32C9" w:rsidRDefault="00EA32C9" w:rsidP="00EA32C9">
      <w:pPr>
        <w:jc w:val="both"/>
        <w:rPr>
          <w:rFonts w:ascii="Arial" w:hAnsi="Arial" w:cs="Arial"/>
          <w:b/>
          <w:sz w:val="24"/>
          <w:szCs w:val="24"/>
        </w:rPr>
      </w:pPr>
      <w:r>
        <w:rPr>
          <w:rFonts w:ascii="Arial" w:hAnsi="Arial" w:cs="Arial"/>
          <w:b/>
          <w:sz w:val="24"/>
          <w:szCs w:val="24"/>
        </w:rPr>
        <w:t>Effective Date</w:t>
      </w:r>
    </w:p>
    <w:p w14:paraId="6085DF90" w14:textId="77777777" w:rsidR="00C8679A" w:rsidRPr="00EA32C9" w:rsidRDefault="00C8679A" w:rsidP="00C8679A">
      <w:pPr>
        <w:rPr>
          <w:rFonts w:ascii="Arial" w:hAnsi="Arial" w:cs="Arial"/>
          <w:sz w:val="24"/>
          <w:szCs w:val="24"/>
        </w:rPr>
      </w:pPr>
      <w:r w:rsidRPr="00EA32C9">
        <w:rPr>
          <w:rFonts w:ascii="Arial" w:hAnsi="Arial" w:cs="Arial"/>
          <w:sz w:val="24"/>
          <w:szCs w:val="24"/>
        </w:rPr>
        <w:t xml:space="preserve">Treasury Management for Professional Bankers is effective from------------ and </w:t>
      </w:r>
      <w:proofErr w:type="spellStart"/>
      <w:r w:rsidRPr="00EA32C9">
        <w:rPr>
          <w:rFonts w:ascii="Arial" w:hAnsi="Arial" w:cs="Arial"/>
          <w:sz w:val="24"/>
          <w:szCs w:val="24"/>
        </w:rPr>
        <w:t>GBEStB</w:t>
      </w:r>
      <w:proofErr w:type="spellEnd"/>
      <w:r w:rsidRPr="00EA32C9">
        <w:rPr>
          <w:rFonts w:ascii="Arial" w:hAnsi="Arial" w:cs="Arial"/>
          <w:sz w:val="24"/>
          <w:szCs w:val="24"/>
        </w:rPr>
        <w:t xml:space="preserve"> member bodies are expected to take active steps from that date to work towards compliance with this Standard.</w:t>
      </w:r>
    </w:p>
    <w:p w14:paraId="0ADE7547" w14:textId="56F42403" w:rsidR="00C8679A" w:rsidRPr="00EA32C9" w:rsidRDefault="00EA32C9" w:rsidP="00EA32C9">
      <w:pPr>
        <w:jc w:val="both"/>
        <w:rPr>
          <w:rFonts w:ascii="Arial" w:hAnsi="Arial" w:cs="Arial"/>
          <w:b/>
          <w:sz w:val="24"/>
          <w:szCs w:val="24"/>
        </w:rPr>
      </w:pPr>
      <w:r>
        <w:rPr>
          <w:rFonts w:ascii="Arial" w:hAnsi="Arial" w:cs="Arial"/>
          <w:b/>
          <w:sz w:val="24"/>
          <w:szCs w:val="24"/>
        </w:rPr>
        <w:t>Review Date</w:t>
      </w:r>
    </w:p>
    <w:p w14:paraId="1345DE1E" w14:textId="77777777" w:rsidR="00C8679A" w:rsidRPr="003D4F04" w:rsidRDefault="00C8679A" w:rsidP="00C8679A">
      <w:pPr>
        <w:rPr>
          <w:rFonts w:ascii="Arial" w:hAnsi="Arial" w:cs="Arial"/>
          <w:sz w:val="24"/>
          <w:szCs w:val="24"/>
        </w:rPr>
      </w:pPr>
      <w:r w:rsidRPr="003D4F04">
        <w:rPr>
          <w:rFonts w:ascii="Arial" w:hAnsi="Arial" w:cs="Arial"/>
          <w:sz w:val="24"/>
          <w:szCs w:val="24"/>
        </w:rPr>
        <w:t>Treasury Management for Professional Bankers will be reviewed on or before--------------.</w:t>
      </w:r>
    </w:p>
    <w:p w14:paraId="6A2A216F" w14:textId="77777777" w:rsidR="006445CC" w:rsidRDefault="006445CC" w:rsidP="00203635">
      <w:pPr>
        <w:jc w:val="both"/>
        <w:rPr>
          <w:rFonts w:ascii="Arial" w:hAnsi="Arial" w:cs="Arial"/>
          <w:b/>
          <w:sz w:val="28"/>
          <w:szCs w:val="28"/>
        </w:rPr>
      </w:pPr>
    </w:p>
    <w:p w14:paraId="54EFEF96" w14:textId="254F317C" w:rsidR="00203635" w:rsidRDefault="00203635" w:rsidP="00203635">
      <w:pPr>
        <w:jc w:val="both"/>
        <w:rPr>
          <w:rFonts w:ascii="Arial" w:hAnsi="Arial" w:cs="Arial"/>
          <w:b/>
          <w:sz w:val="28"/>
          <w:szCs w:val="28"/>
        </w:rPr>
      </w:pPr>
      <w:r>
        <w:rPr>
          <w:rFonts w:ascii="Arial" w:hAnsi="Arial" w:cs="Arial"/>
          <w:b/>
          <w:sz w:val="28"/>
          <w:szCs w:val="28"/>
        </w:rPr>
        <w:t>RECOMMENDATIONS AND GUIDANCE</w:t>
      </w:r>
    </w:p>
    <w:p w14:paraId="68200844" w14:textId="1BDD96FB" w:rsidR="00203635" w:rsidRPr="00203635" w:rsidRDefault="00203635" w:rsidP="00203635">
      <w:pPr>
        <w:jc w:val="both"/>
        <w:rPr>
          <w:rFonts w:ascii="Arial" w:hAnsi="Arial" w:cs="Arial"/>
          <w:i/>
        </w:rPr>
      </w:pPr>
      <w:r>
        <w:rPr>
          <w:rFonts w:ascii="Arial" w:hAnsi="Arial" w:cs="Arial"/>
          <w:b/>
          <w:sz w:val="24"/>
          <w:szCs w:val="24"/>
        </w:rPr>
        <w:t>GENERAL RECOMMENDATIONS</w:t>
      </w:r>
    </w:p>
    <w:p w14:paraId="56458F85" w14:textId="77777777" w:rsidR="00925728" w:rsidRPr="00203635" w:rsidRDefault="00925728" w:rsidP="00BA689B">
      <w:pPr>
        <w:jc w:val="both"/>
        <w:rPr>
          <w:rFonts w:ascii="Arial" w:eastAsia="Calibri" w:hAnsi="Arial" w:cs="Arial"/>
          <w:b/>
          <w:lang w:val="en-GB"/>
        </w:rPr>
      </w:pPr>
      <w:r w:rsidRPr="00203635">
        <w:rPr>
          <w:rFonts w:ascii="Arial" w:eastAsia="Calibri" w:hAnsi="Arial" w:cs="Arial"/>
          <w:b/>
          <w:lang w:val="en-GB"/>
        </w:rPr>
        <w:t xml:space="preserve">1. GBEStB member bodies shall ensure that professionals working in treasury should undergo the education, </w:t>
      </w:r>
      <w:proofErr w:type="gramStart"/>
      <w:r w:rsidRPr="00203635">
        <w:rPr>
          <w:rFonts w:ascii="Arial" w:eastAsia="Calibri" w:hAnsi="Arial" w:cs="Arial"/>
          <w:b/>
          <w:lang w:val="en-GB"/>
        </w:rPr>
        <w:t>training</w:t>
      </w:r>
      <w:proofErr w:type="gramEnd"/>
      <w:r w:rsidRPr="00203635">
        <w:rPr>
          <w:rFonts w:ascii="Arial" w:eastAsia="Calibri" w:hAnsi="Arial" w:cs="Arial"/>
          <w:b/>
          <w:lang w:val="en-GB"/>
        </w:rPr>
        <w:t xml:space="preserve"> and certification, so that they are able to discharge their roles and functions more effectively.</w:t>
      </w:r>
    </w:p>
    <w:p w14:paraId="459FCCD7" w14:textId="108BB805" w:rsidR="00925728" w:rsidRPr="00203635" w:rsidRDefault="00925728" w:rsidP="00BA689B">
      <w:pPr>
        <w:jc w:val="both"/>
        <w:rPr>
          <w:rFonts w:ascii="Arial" w:hAnsi="Arial" w:cs="Arial"/>
          <w:sz w:val="24"/>
          <w:szCs w:val="24"/>
        </w:rPr>
      </w:pPr>
      <w:proofErr w:type="spellStart"/>
      <w:r w:rsidRPr="00203635">
        <w:rPr>
          <w:rFonts w:ascii="Arial" w:hAnsi="Arial" w:cs="Arial"/>
          <w:sz w:val="24"/>
          <w:szCs w:val="24"/>
        </w:rPr>
        <w:t>GBEStB</w:t>
      </w:r>
      <w:proofErr w:type="spellEnd"/>
      <w:r w:rsidRPr="00203635">
        <w:rPr>
          <w:rFonts w:ascii="Arial" w:hAnsi="Arial" w:cs="Arial"/>
          <w:sz w:val="24"/>
          <w:szCs w:val="24"/>
        </w:rPr>
        <w:t xml:space="preserve"> member institutions should work in close coordination with the Banks, financial </w:t>
      </w:r>
      <w:proofErr w:type="gramStart"/>
      <w:r w:rsidRPr="00203635">
        <w:rPr>
          <w:rFonts w:ascii="Arial" w:hAnsi="Arial" w:cs="Arial"/>
          <w:sz w:val="24"/>
          <w:szCs w:val="24"/>
        </w:rPr>
        <w:t>institutions</w:t>
      </w:r>
      <w:proofErr w:type="gramEnd"/>
      <w:r w:rsidRPr="00203635">
        <w:rPr>
          <w:rFonts w:ascii="Arial" w:hAnsi="Arial" w:cs="Arial"/>
          <w:sz w:val="24"/>
          <w:szCs w:val="24"/>
        </w:rPr>
        <w:t xml:space="preserve"> and regulators to ensure that the professionals posted in treasury department undergo the relevant training and certification programme on Treasury Management, so that they develop a basic understanding of the various functions of treasury management. </w:t>
      </w:r>
    </w:p>
    <w:p w14:paraId="1E8220AF" w14:textId="22E883D4" w:rsidR="00BA689B" w:rsidRPr="00203635" w:rsidRDefault="00BA689B" w:rsidP="00BA689B">
      <w:pPr>
        <w:jc w:val="both"/>
        <w:rPr>
          <w:rFonts w:ascii="Arial" w:hAnsi="Arial" w:cs="Arial"/>
          <w:sz w:val="24"/>
          <w:szCs w:val="24"/>
        </w:rPr>
      </w:pPr>
      <w:proofErr w:type="spellStart"/>
      <w:r w:rsidRPr="00203635">
        <w:rPr>
          <w:rFonts w:ascii="Arial" w:hAnsi="Arial" w:cs="Arial"/>
          <w:sz w:val="24"/>
          <w:szCs w:val="24"/>
        </w:rPr>
        <w:t>GBEStB</w:t>
      </w:r>
      <w:proofErr w:type="spellEnd"/>
      <w:r w:rsidRPr="00203635">
        <w:rPr>
          <w:rFonts w:ascii="Arial" w:hAnsi="Arial" w:cs="Arial"/>
          <w:sz w:val="24"/>
          <w:szCs w:val="24"/>
        </w:rPr>
        <w:t xml:space="preserve"> member bodies should ensure that the contents of the course are illustrative</w:t>
      </w:r>
      <w:r w:rsidR="0071146A">
        <w:rPr>
          <w:rFonts w:ascii="Arial" w:hAnsi="Arial" w:cs="Arial"/>
          <w:sz w:val="24"/>
          <w:szCs w:val="24"/>
        </w:rPr>
        <w:t xml:space="preserve"> and cover the basics of all</w:t>
      </w:r>
      <w:r w:rsidRPr="00203635">
        <w:rPr>
          <w:rFonts w:ascii="Arial" w:hAnsi="Arial" w:cs="Arial"/>
          <w:sz w:val="24"/>
          <w:szCs w:val="24"/>
        </w:rPr>
        <w:t xml:space="preserve"> aspects of Treasury Management.</w:t>
      </w:r>
    </w:p>
    <w:p w14:paraId="012CA57B" w14:textId="78B7C9BE" w:rsidR="00FC6D66" w:rsidRPr="00203635" w:rsidRDefault="00FC6D66" w:rsidP="00BA689B">
      <w:pPr>
        <w:jc w:val="both"/>
        <w:rPr>
          <w:rFonts w:ascii="Arial" w:eastAsia="Calibri" w:hAnsi="Arial" w:cs="Arial"/>
          <w:b/>
          <w:lang w:val="en-GB"/>
        </w:rPr>
      </w:pPr>
      <w:r w:rsidRPr="00203635">
        <w:rPr>
          <w:rFonts w:ascii="Arial" w:eastAsia="Calibri" w:hAnsi="Arial" w:cs="Arial"/>
          <w:b/>
          <w:lang w:val="en-GB"/>
        </w:rPr>
        <w:t>2. GBEStB member bodie</w:t>
      </w:r>
      <w:r w:rsidR="006E6D54">
        <w:rPr>
          <w:rFonts w:ascii="Arial" w:eastAsia="Calibri" w:hAnsi="Arial" w:cs="Arial"/>
          <w:b/>
          <w:lang w:val="en-GB"/>
        </w:rPr>
        <w:t>s need to provide support to</w:t>
      </w:r>
      <w:r w:rsidRPr="00203635">
        <w:rPr>
          <w:rFonts w:ascii="Arial" w:eastAsia="Calibri" w:hAnsi="Arial" w:cs="Arial"/>
          <w:b/>
          <w:lang w:val="en-GB"/>
        </w:rPr>
        <w:t xml:space="preserve"> banks and financial institutions to create a pool of skilled professionals who can discharge their roles and responsibilities in an efficient manner.</w:t>
      </w:r>
    </w:p>
    <w:p w14:paraId="28D5133C" w14:textId="0315104B" w:rsidR="00FC6D66" w:rsidRPr="00203635" w:rsidRDefault="00FC6D66" w:rsidP="00BA689B">
      <w:pPr>
        <w:jc w:val="both"/>
        <w:rPr>
          <w:rFonts w:ascii="Arial" w:hAnsi="Arial" w:cs="Arial"/>
          <w:sz w:val="24"/>
          <w:szCs w:val="24"/>
        </w:rPr>
      </w:pPr>
      <w:r w:rsidRPr="00203635">
        <w:rPr>
          <w:rFonts w:ascii="Arial" w:hAnsi="Arial" w:cs="Arial"/>
          <w:sz w:val="24"/>
          <w:szCs w:val="24"/>
        </w:rPr>
        <w:t>Considering the importance of Treasury Management in a Bank or financial institution or corporates, and its complexities, it is necessary that the professionals with relevant skill level</w:t>
      </w:r>
      <w:r w:rsidR="003D2D5E">
        <w:rPr>
          <w:rFonts w:ascii="Arial" w:hAnsi="Arial" w:cs="Arial"/>
          <w:sz w:val="24"/>
          <w:szCs w:val="24"/>
        </w:rPr>
        <w:t>s</w:t>
      </w:r>
      <w:r w:rsidRPr="00203635">
        <w:rPr>
          <w:rFonts w:ascii="Arial" w:hAnsi="Arial" w:cs="Arial"/>
          <w:sz w:val="24"/>
          <w:szCs w:val="24"/>
        </w:rPr>
        <w:t xml:space="preserve"> should manage these positions effectively. </w:t>
      </w:r>
      <w:proofErr w:type="spellStart"/>
      <w:r w:rsidRPr="00203635">
        <w:rPr>
          <w:rFonts w:ascii="Arial" w:hAnsi="Arial" w:cs="Arial"/>
          <w:sz w:val="24"/>
          <w:szCs w:val="24"/>
        </w:rPr>
        <w:t>GBEStB</w:t>
      </w:r>
      <w:proofErr w:type="spellEnd"/>
      <w:r w:rsidRPr="00203635">
        <w:rPr>
          <w:rFonts w:ascii="Arial" w:hAnsi="Arial" w:cs="Arial"/>
          <w:sz w:val="24"/>
          <w:szCs w:val="24"/>
        </w:rPr>
        <w:t xml:space="preserve"> should design and deliver the courseware/training programmes in consultation with the stakeholders for various levels of operating functionaries. ‘One size </w:t>
      </w:r>
      <w:proofErr w:type="gramStart"/>
      <w:r w:rsidRPr="00203635">
        <w:rPr>
          <w:rFonts w:ascii="Arial" w:hAnsi="Arial" w:cs="Arial"/>
          <w:sz w:val="24"/>
          <w:szCs w:val="24"/>
        </w:rPr>
        <w:t>fits</w:t>
      </w:r>
      <w:proofErr w:type="gramEnd"/>
      <w:r w:rsidRPr="00203635">
        <w:rPr>
          <w:rFonts w:ascii="Arial" w:hAnsi="Arial" w:cs="Arial"/>
          <w:sz w:val="24"/>
          <w:szCs w:val="24"/>
        </w:rPr>
        <w:t xml:space="preserve"> all’ approach of education and training may not be sufficient for the programmes to be designed for various levels and various functional roles. </w:t>
      </w:r>
    </w:p>
    <w:p w14:paraId="114FBD71" w14:textId="51FBB9D5" w:rsidR="00FC6D66" w:rsidRPr="00203635" w:rsidRDefault="00FC6D66" w:rsidP="00BA689B">
      <w:pPr>
        <w:jc w:val="both"/>
        <w:rPr>
          <w:rFonts w:ascii="Arial" w:hAnsi="Arial" w:cs="Arial"/>
          <w:sz w:val="24"/>
          <w:szCs w:val="24"/>
        </w:rPr>
      </w:pPr>
      <w:r w:rsidRPr="00203635">
        <w:rPr>
          <w:rFonts w:ascii="Arial" w:hAnsi="Arial" w:cs="Arial"/>
          <w:sz w:val="24"/>
          <w:szCs w:val="24"/>
        </w:rPr>
        <w:t>The contents of the course and training programmes should be designed and delivered in such a way that the impact on the participants is visible.</w:t>
      </w:r>
    </w:p>
    <w:p w14:paraId="3B235275" w14:textId="53FDE42E" w:rsidR="00FC6D66" w:rsidRDefault="00FC6D66" w:rsidP="00BA689B">
      <w:pPr>
        <w:jc w:val="both"/>
        <w:rPr>
          <w:rFonts w:ascii="Arial" w:eastAsia="Calibri" w:hAnsi="Arial" w:cs="Arial"/>
          <w:b/>
          <w:lang w:val="en-GB"/>
        </w:rPr>
      </w:pPr>
      <w:r w:rsidRPr="00203635">
        <w:rPr>
          <w:rFonts w:ascii="Arial" w:eastAsia="Calibri" w:hAnsi="Arial" w:cs="Arial"/>
          <w:b/>
          <w:lang w:val="en-GB"/>
        </w:rPr>
        <w:t xml:space="preserve">3. GBEStB member institutions to review the contents </w:t>
      </w:r>
      <w:r w:rsidR="00FF2B44" w:rsidRPr="00203635">
        <w:rPr>
          <w:rFonts w:ascii="Arial" w:eastAsia="Calibri" w:hAnsi="Arial" w:cs="Arial"/>
          <w:b/>
          <w:lang w:val="en-GB"/>
        </w:rPr>
        <w:t>of the course, delivery of the programmes at periodic intervals, not later than 2 years.</w:t>
      </w:r>
    </w:p>
    <w:p w14:paraId="212570A4" w14:textId="77777777" w:rsidR="003F5D8D" w:rsidRDefault="003F5D8D" w:rsidP="00BA689B">
      <w:pPr>
        <w:jc w:val="both"/>
        <w:rPr>
          <w:rFonts w:ascii="Arial" w:hAnsi="Arial" w:cs="Arial"/>
          <w:sz w:val="24"/>
          <w:szCs w:val="24"/>
        </w:rPr>
      </w:pPr>
    </w:p>
    <w:p w14:paraId="2551340A" w14:textId="755B8A12" w:rsidR="003F5D8D" w:rsidRDefault="003F5D8D" w:rsidP="003F5D8D">
      <w:pPr>
        <w:jc w:val="right"/>
        <w:rPr>
          <w:rFonts w:ascii="Arial" w:hAnsi="Arial" w:cs="Arial"/>
          <w:sz w:val="24"/>
          <w:szCs w:val="24"/>
        </w:rPr>
      </w:pPr>
      <w:r w:rsidRPr="00F238E1">
        <w:rPr>
          <w:rFonts w:cstheme="minorHAnsi"/>
          <w:noProof/>
          <w:sz w:val="24"/>
          <w:szCs w:val="24"/>
          <w:lang w:eastAsia="en-IN"/>
        </w:rPr>
        <w:lastRenderedPageBreak/>
        <w:drawing>
          <wp:inline distT="0" distB="0" distL="0" distR="0" wp14:anchorId="53CCDA6F" wp14:editId="74E4C4F0">
            <wp:extent cx="1714500" cy="607930"/>
            <wp:effectExtent l="0" t="0" r="0" b="1905"/>
            <wp:docPr id="5" name="Picture 5"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09494039" w14:textId="6BADBB41" w:rsidR="006445CC" w:rsidRDefault="00A4365F" w:rsidP="003F5D8D">
      <w:pPr>
        <w:jc w:val="both"/>
        <w:rPr>
          <w:rFonts w:ascii="Arial" w:hAnsi="Arial" w:cs="Arial"/>
          <w:sz w:val="24"/>
          <w:szCs w:val="24"/>
        </w:rPr>
      </w:pPr>
      <w:r w:rsidRPr="00203635">
        <w:rPr>
          <w:rFonts w:ascii="Arial" w:hAnsi="Arial" w:cs="Arial"/>
          <w:sz w:val="24"/>
          <w:szCs w:val="24"/>
        </w:rPr>
        <w:t>Key aspects of treasury function should be covered in detail in the course curricu</w:t>
      </w:r>
      <w:r>
        <w:rPr>
          <w:rFonts w:ascii="Arial" w:hAnsi="Arial" w:cs="Arial"/>
          <w:sz w:val="24"/>
          <w:szCs w:val="24"/>
        </w:rPr>
        <w:t>lum. Deeper understanding of</w:t>
      </w:r>
      <w:r w:rsidRPr="00203635">
        <w:rPr>
          <w:rFonts w:ascii="Arial" w:hAnsi="Arial" w:cs="Arial"/>
          <w:sz w:val="24"/>
          <w:szCs w:val="24"/>
        </w:rPr>
        <w:t xml:space="preserve"> various concepts in respect of treasury functions is a sine qua non for the success of the treasury professionals. As treasury management encompasses a wide range of activities, continuous review</w:t>
      </w:r>
      <w:r>
        <w:rPr>
          <w:rFonts w:ascii="Arial" w:hAnsi="Arial" w:cs="Arial"/>
          <w:sz w:val="24"/>
          <w:szCs w:val="24"/>
        </w:rPr>
        <w:t>,</w:t>
      </w:r>
      <w:r w:rsidRPr="00203635">
        <w:rPr>
          <w:rFonts w:ascii="Arial" w:hAnsi="Arial" w:cs="Arial"/>
          <w:sz w:val="24"/>
          <w:szCs w:val="24"/>
        </w:rPr>
        <w:t xml:space="preserve"> </w:t>
      </w:r>
      <w:proofErr w:type="spellStart"/>
      <w:r w:rsidRPr="00203635">
        <w:rPr>
          <w:rFonts w:ascii="Arial" w:hAnsi="Arial" w:cs="Arial"/>
          <w:sz w:val="24"/>
          <w:szCs w:val="24"/>
        </w:rPr>
        <w:t>updation</w:t>
      </w:r>
      <w:proofErr w:type="spellEnd"/>
      <w:r w:rsidRPr="00203635">
        <w:rPr>
          <w:rFonts w:ascii="Arial" w:hAnsi="Arial" w:cs="Arial"/>
          <w:sz w:val="24"/>
          <w:szCs w:val="24"/>
        </w:rPr>
        <w:t xml:space="preserve"> of cours</w:t>
      </w:r>
      <w:r>
        <w:rPr>
          <w:rFonts w:ascii="Arial" w:hAnsi="Arial" w:cs="Arial"/>
          <w:sz w:val="24"/>
          <w:szCs w:val="24"/>
        </w:rPr>
        <w:t>eware and training programmes are</w:t>
      </w:r>
      <w:r w:rsidRPr="00203635">
        <w:rPr>
          <w:rFonts w:ascii="Arial" w:hAnsi="Arial" w:cs="Arial"/>
          <w:sz w:val="24"/>
          <w:szCs w:val="24"/>
        </w:rPr>
        <w:t xml:space="preserve"> highly recommended.</w:t>
      </w:r>
    </w:p>
    <w:p w14:paraId="2877C7CC" w14:textId="0C964E04" w:rsidR="00FF2B44" w:rsidRPr="00203635" w:rsidRDefault="00FF2B44" w:rsidP="00BA689B">
      <w:pPr>
        <w:jc w:val="both"/>
        <w:rPr>
          <w:rFonts w:ascii="Arial" w:eastAsia="Calibri" w:hAnsi="Arial" w:cs="Arial"/>
          <w:b/>
          <w:lang w:val="en-GB"/>
        </w:rPr>
      </w:pPr>
      <w:r w:rsidRPr="00203635">
        <w:rPr>
          <w:rFonts w:ascii="Arial" w:eastAsia="Calibri" w:hAnsi="Arial" w:cs="Arial"/>
          <w:b/>
          <w:lang w:val="en-GB"/>
        </w:rPr>
        <w:t>4. GBEStB member institutions should en</w:t>
      </w:r>
      <w:r w:rsidR="00F07F07">
        <w:rPr>
          <w:rFonts w:ascii="Arial" w:eastAsia="Calibri" w:hAnsi="Arial" w:cs="Arial"/>
          <w:b/>
          <w:lang w:val="en-GB"/>
        </w:rPr>
        <w:t>deavour to closely work with</w:t>
      </w:r>
      <w:r w:rsidRPr="00203635">
        <w:rPr>
          <w:rFonts w:ascii="Arial" w:eastAsia="Calibri" w:hAnsi="Arial" w:cs="Arial"/>
          <w:b/>
          <w:lang w:val="en-GB"/>
        </w:rPr>
        <w:t xml:space="preserve"> stakeholders for continuous professional </w:t>
      </w:r>
      <w:r w:rsidR="00F07F07">
        <w:rPr>
          <w:rFonts w:ascii="Arial" w:eastAsia="Calibri" w:hAnsi="Arial" w:cs="Arial"/>
          <w:b/>
          <w:lang w:val="en-GB"/>
        </w:rPr>
        <w:t xml:space="preserve">development of </w:t>
      </w:r>
      <w:r w:rsidRPr="00203635">
        <w:rPr>
          <w:rFonts w:ascii="Arial" w:eastAsia="Calibri" w:hAnsi="Arial" w:cs="Arial"/>
          <w:b/>
          <w:lang w:val="en-GB"/>
        </w:rPr>
        <w:t>treasury professionals.</w:t>
      </w:r>
    </w:p>
    <w:p w14:paraId="14294F7E" w14:textId="4F68F8D0" w:rsidR="00FF2B44" w:rsidRPr="00203635" w:rsidRDefault="00FF2B44" w:rsidP="00BA689B">
      <w:pPr>
        <w:jc w:val="both"/>
        <w:rPr>
          <w:rFonts w:ascii="Arial" w:hAnsi="Arial" w:cs="Arial"/>
          <w:sz w:val="24"/>
          <w:szCs w:val="24"/>
        </w:rPr>
      </w:pPr>
      <w:r w:rsidRPr="00203635">
        <w:rPr>
          <w:rFonts w:ascii="Arial" w:hAnsi="Arial" w:cs="Arial"/>
          <w:sz w:val="24"/>
          <w:szCs w:val="24"/>
        </w:rPr>
        <w:t xml:space="preserve">Treasury Professionals across the globe need to maintain high standards of professionalism. The changing economic scenarios, globalization etc. pose new threats for the treasury professionals. In order to take decisions, the professionals should be well-equipped with relevant data, </w:t>
      </w:r>
      <w:proofErr w:type="gramStart"/>
      <w:r w:rsidRPr="00203635">
        <w:rPr>
          <w:rFonts w:ascii="Arial" w:hAnsi="Arial" w:cs="Arial"/>
          <w:sz w:val="24"/>
          <w:szCs w:val="24"/>
        </w:rPr>
        <w:t>information</w:t>
      </w:r>
      <w:proofErr w:type="gramEnd"/>
      <w:r w:rsidRPr="00203635">
        <w:rPr>
          <w:rFonts w:ascii="Arial" w:hAnsi="Arial" w:cs="Arial"/>
          <w:sz w:val="24"/>
          <w:szCs w:val="24"/>
        </w:rPr>
        <w:t xml:space="preserve"> and knowledge. </w:t>
      </w:r>
    </w:p>
    <w:p w14:paraId="3E268BAD" w14:textId="3738F606" w:rsidR="00696BD7" w:rsidRDefault="00FF2B44" w:rsidP="00A60E31">
      <w:pPr>
        <w:jc w:val="both"/>
        <w:rPr>
          <w:rFonts w:ascii="Arial" w:hAnsi="Arial" w:cs="Arial"/>
          <w:sz w:val="24"/>
          <w:szCs w:val="24"/>
        </w:rPr>
      </w:pPr>
      <w:r w:rsidRPr="00203635">
        <w:rPr>
          <w:rFonts w:ascii="Arial" w:hAnsi="Arial" w:cs="Arial"/>
          <w:sz w:val="24"/>
          <w:szCs w:val="24"/>
        </w:rPr>
        <w:t>So, continuous professional development of treasury professionals is not only essential for the individuals, but desirable for the institution</w:t>
      </w:r>
      <w:r w:rsidR="00B465A2">
        <w:rPr>
          <w:rFonts w:ascii="Arial" w:hAnsi="Arial" w:cs="Arial"/>
          <w:sz w:val="24"/>
          <w:szCs w:val="24"/>
        </w:rPr>
        <w:t>s</w:t>
      </w:r>
      <w:r w:rsidRPr="00203635">
        <w:rPr>
          <w:rFonts w:ascii="Arial" w:hAnsi="Arial" w:cs="Arial"/>
          <w:sz w:val="24"/>
          <w:szCs w:val="24"/>
        </w:rPr>
        <w:t xml:space="preserve"> as well.</w:t>
      </w:r>
    </w:p>
    <w:p w14:paraId="526DD599" w14:textId="77777777" w:rsidR="00FD6104" w:rsidRDefault="00FD6104" w:rsidP="0082091D">
      <w:pPr>
        <w:jc w:val="both"/>
        <w:rPr>
          <w:rFonts w:ascii="Arial" w:hAnsi="Arial" w:cs="Arial"/>
          <w:b/>
          <w:sz w:val="24"/>
          <w:szCs w:val="24"/>
        </w:rPr>
      </w:pPr>
    </w:p>
    <w:p w14:paraId="5F4CF744" w14:textId="5AB7A626" w:rsidR="00B14321" w:rsidRDefault="00A60E31" w:rsidP="0082091D">
      <w:pPr>
        <w:jc w:val="both"/>
        <w:rPr>
          <w:rFonts w:ascii="Arial" w:hAnsi="Arial" w:cs="Arial"/>
          <w:sz w:val="24"/>
          <w:szCs w:val="24"/>
        </w:rPr>
      </w:pPr>
      <w:r>
        <w:rPr>
          <w:rFonts w:ascii="Arial" w:hAnsi="Arial" w:cs="Arial"/>
          <w:b/>
          <w:sz w:val="24"/>
          <w:szCs w:val="24"/>
        </w:rPr>
        <w:t xml:space="preserve">KEY </w:t>
      </w:r>
      <w:r>
        <w:rPr>
          <w:rFonts w:ascii="Arial" w:hAnsi="Arial" w:cs="Arial"/>
          <w:b/>
          <w:caps/>
          <w:sz w:val="24"/>
          <w:szCs w:val="24"/>
        </w:rPr>
        <w:t>TREASURY OPERATIONS EDUCATION &amp; TRAINING</w:t>
      </w:r>
      <w:r w:rsidRPr="00D805D8">
        <w:rPr>
          <w:rFonts w:ascii="Arial" w:hAnsi="Arial" w:cs="Arial"/>
          <w:b/>
          <w:sz w:val="24"/>
          <w:szCs w:val="24"/>
        </w:rPr>
        <w:t xml:space="preserve"> </w:t>
      </w:r>
      <w:r>
        <w:rPr>
          <w:rFonts w:ascii="Arial" w:hAnsi="Arial" w:cs="Arial"/>
          <w:b/>
          <w:sz w:val="24"/>
          <w:szCs w:val="24"/>
        </w:rPr>
        <w:t>PRINCIPLES FOR PROFESSIONAL BANKERS</w:t>
      </w:r>
    </w:p>
    <w:p w14:paraId="17C18173" w14:textId="7870B531" w:rsidR="0082091D" w:rsidRDefault="00EA5678" w:rsidP="0082091D">
      <w:pPr>
        <w:jc w:val="both"/>
        <w:rPr>
          <w:rFonts w:ascii="Arial" w:hAnsi="Arial" w:cs="Arial"/>
          <w:sz w:val="24"/>
          <w:szCs w:val="24"/>
        </w:rPr>
      </w:pPr>
      <w:proofErr w:type="spellStart"/>
      <w:r w:rsidRPr="00EA5678">
        <w:rPr>
          <w:rFonts w:ascii="Arial" w:hAnsi="Arial" w:cs="Arial"/>
          <w:sz w:val="24"/>
          <w:szCs w:val="24"/>
        </w:rPr>
        <w:t>GBEStB</w:t>
      </w:r>
      <w:proofErr w:type="spellEnd"/>
      <w:r w:rsidRPr="00EA5678">
        <w:rPr>
          <w:rFonts w:ascii="Arial" w:hAnsi="Arial" w:cs="Arial"/>
          <w:sz w:val="24"/>
          <w:szCs w:val="24"/>
        </w:rPr>
        <w:t xml:space="preserve"> member bodies shall ensure that </w:t>
      </w:r>
      <w:r>
        <w:rPr>
          <w:rFonts w:ascii="Arial" w:hAnsi="Arial" w:cs="Arial"/>
          <w:sz w:val="24"/>
          <w:szCs w:val="24"/>
        </w:rPr>
        <w:t>treasury operations</w:t>
      </w:r>
      <w:r w:rsidRPr="00EA5678">
        <w:rPr>
          <w:rFonts w:ascii="Arial" w:hAnsi="Arial" w:cs="Arial"/>
          <w:sz w:val="24"/>
          <w:szCs w:val="24"/>
        </w:rPr>
        <w:t xml:space="preserve"> education programmes for Professional Bankers include all relevant national and international policies, </w:t>
      </w:r>
      <w:proofErr w:type="gramStart"/>
      <w:r w:rsidRPr="00EA5678">
        <w:rPr>
          <w:rFonts w:ascii="Arial" w:hAnsi="Arial" w:cs="Arial"/>
          <w:sz w:val="24"/>
          <w:szCs w:val="24"/>
        </w:rPr>
        <w:t>frameworks</w:t>
      </w:r>
      <w:proofErr w:type="gramEnd"/>
      <w:r w:rsidRPr="00EA5678">
        <w:rPr>
          <w:rFonts w:ascii="Arial" w:hAnsi="Arial" w:cs="Arial"/>
          <w:sz w:val="24"/>
          <w:szCs w:val="24"/>
        </w:rPr>
        <w:t xml:space="preserve"> and regulation in this area</w:t>
      </w:r>
      <w:r>
        <w:rPr>
          <w:rFonts w:ascii="Arial" w:hAnsi="Arial" w:cs="Arial"/>
          <w:sz w:val="24"/>
          <w:szCs w:val="24"/>
        </w:rPr>
        <w:t>.</w:t>
      </w:r>
      <w:r w:rsidRPr="00EA5678">
        <w:rPr>
          <w:rFonts w:ascii="Arial" w:hAnsi="Arial" w:cs="Arial"/>
          <w:sz w:val="24"/>
          <w:szCs w:val="24"/>
        </w:rPr>
        <w:t xml:space="preserve"> </w:t>
      </w:r>
    </w:p>
    <w:p w14:paraId="2ADFE368" w14:textId="55ECC207" w:rsidR="00A60E31" w:rsidRDefault="00A60E31" w:rsidP="00A60E31">
      <w:pPr>
        <w:jc w:val="both"/>
        <w:rPr>
          <w:rFonts w:cstheme="minorHAnsi"/>
          <w:sz w:val="24"/>
          <w:szCs w:val="24"/>
        </w:rPr>
      </w:pPr>
      <w:r>
        <w:rPr>
          <w:rFonts w:ascii="Arial" w:hAnsi="Arial" w:cs="Arial"/>
          <w:b/>
          <w:sz w:val="24"/>
          <w:szCs w:val="24"/>
        </w:rPr>
        <w:t xml:space="preserve">CONTENT OF </w:t>
      </w:r>
      <w:r>
        <w:rPr>
          <w:rFonts w:ascii="Arial" w:hAnsi="Arial" w:cs="Arial"/>
          <w:b/>
          <w:caps/>
          <w:sz w:val="24"/>
          <w:szCs w:val="24"/>
        </w:rPr>
        <w:t>TREASURY OPERATIONS EDUCATION &amp; TRAINING</w:t>
      </w:r>
      <w:r w:rsidRPr="00D805D8">
        <w:rPr>
          <w:rFonts w:ascii="Arial" w:hAnsi="Arial" w:cs="Arial"/>
          <w:b/>
          <w:sz w:val="24"/>
          <w:szCs w:val="24"/>
        </w:rPr>
        <w:t xml:space="preserve"> </w:t>
      </w:r>
      <w:r>
        <w:rPr>
          <w:rFonts w:ascii="Arial" w:hAnsi="Arial" w:cs="Arial"/>
          <w:b/>
          <w:sz w:val="24"/>
          <w:szCs w:val="24"/>
        </w:rPr>
        <w:t>PROGRAMMES</w:t>
      </w:r>
      <w:r w:rsidRPr="00F238E1">
        <w:rPr>
          <w:rFonts w:cstheme="minorHAnsi"/>
          <w:sz w:val="24"/>
          <w:szCs w:val="24"/>
        </w:rPr>
        <w:t xml:space="preserve"> </w:t>
      </w:r>
    </w:p>
    <w:p w14:paraId="1440B8E2" w14:textId="7208F533" w:rsidR="00A60E31" w:rsidRDefault="00A60E31" w:rsidP="00A60E31">
      <w:pPr>
        <w:jc w:val="both"/>
        <w:rPr>
          <w:rFonts w:cstheme="minorHAnsi"/>
          <w:sz w:val="24"/>
          <w:szCs w:val="24"/>
        </w:rPr>
      </w:pPr>
      <w:proofErr w:type="spellStart"/>
      <w:r w:rsidRPr="005A2A88">
        <w:rPr>
          <w:rFonts w:ascii="Arial" w:hAnsi="Arial" w:cs="Arial"/>
          <w:b/>
        </w:rPr>
        <w:t>GBEStB</w:t>
      </w:r>
      <w:proofErr w:type="spellEnd"/>
      <w:r w:rsidRPr="005A2A88">
        <w:rPr>
          <w:rFonts w:ascii="Arial" w:hAnsi="Arial" w:cs="Arial"/>
          <w:b/>
        </w:rPr>
        <w:t xml:space="preserve"> member bodies </w:t>
      </w:r>
      <w:r>
        <w:rPr>
          <w:rFonts w:ascii="Arial" w:hAnsi="Arial" w:cs="Arial"/>
          <w:b/>
        </w:rPr>
        <w:t>shall</w:t>
      </w:r>
      <w:r w:rsidRPr="005A2A88">
        <w:rPr>
          <w:rFonts w:ascii="Arial" w:hAnsi="Arial" w:cs="Arial"/>
          <w:b/>
        </w:rPr>
        <w:t xml:space="preserve"> ensure that </w:t>
      </w:r>
      <w:r>
        <w:rPr>
          <w:rFonts w:ascii="Arial" w:hAnsi="Arial" w:cs="Arial"/>
          <w:b/>
        </w:rPr>
        <w:t>Treasury Operations</w:t>
      </w:r>
      <w:r w:rsidRPr="00D805D8">
        <w:rPr>
          <w:rFonts w:ascii="Arial" w:hAnsi="Arial" w:cs="Arial"/>
          <w:b/>
        </w:rPr>
        <w:t xml:space="preserve"> </w:t>
      </w:r>
      <w:r>
        <w:rPr>
          <w:rFonts w:ascii="Arial" w:hAnsi="Arial" w:cs="Arial"/>
          <w:b/>
        </w:rPr>
        <w:t>education and training programmes for Professional Banker</w:t>
      </w:r>
      <w:r w:rsidRPr="005A2A88">
        <w:rPr>
          <w:rFonts w:ascii="Arial" w:hAnsi="Arial" w:cs="Arial"/>
          <w:b/>
        </w:rPr>
        <w:t xml:space="preserve">s </w:t>
      </w:r>
      <w:r>
        <w:rPr>
          <w:rFonts w:ascii="Arial" w:hAnsi="Arial" w:cs="Arial"/>
          <w:b/>
        </w:rPr>
        <w:t>include the following key topics, are appropriate and relevant, and are periodically reviewed to ensure they remain up-to-date.</w:t>
      </w:r>
    </w:p>
    <w:p w14:paraId="0D0194C8" w14:textId="655EC58A" w:rsidR="00925728" w:rsidRPr="00A60E31" w:rsidRDefault="00CD6262" w:rsidP="00C8679A">
      <w:pPr>
        <w:rPr>
          <w:rFonts w:ascii="Arial" w:hAnsi="Arial" w:cs="Arial"/>
          <w:sz w:val="24"/>
          <w:szCs w:val="24"/>
        </w:rPr>
      </w:pPr>
      <w:r w:rsidRPr="00A60E31">
        <w:rPr>
          <w:rFonts w:ascii="Arial" w:hAnsi="Arial" w:cs="Arial"/>
          <w:sz w:val="24"/>
          <w:szCs w:val="24"/>
        </w:rPr>
        <w:t xml:space="preserve">Treasury professionals need to possess </w:t>
      </w:r>
      <w:r w:rsidR="00FE4F95">
        <w:rPr>
          <w:rFonts w:ascii="Arial" w:hAnsi="Arial" w:cs="Arial"/>
          <w:sz w:val="24"/>
          <w:szCs w:val="24"/>
        </w:rPr>
        <w:t xml:space="preserve">a </w:t>
      </w:r>
      <w:r w:rsidRPr="00A60E31">
        <w:rPr>
          <w:rFonts w:ascii="Arial" w:hAnsi="Arial" w:cs="Arial"/>
          <w:sz w:val="24"/>
          <w:szCs w:val="24"/>
        </w:rPr>
        <w:t>combination of multiple skills to deliver desirable results, such as:</w:t>
      </w:r>
    </w:p>
    <w:p w14:paraId="10B575FB" w14:textId="77777777" w:rsidR="00CD6262" w:rsidRPr="00A60E31" w:rsidRDefault="00CD6262" w:rsidP="00CD6262">
      <w:pPr>
        <w:pStyle w:val="ListParagraph"/>
        <w:numPr>
          <w:ilvl w:val="0"/>
          <w:numId w:val="2"/>
        </w:numPr>
        <w:rPr>
          <w:rFonts w:ascii="Arial" w:hAnsi="Arial" w:cs="Arial"/>
          <w:sz w:val="24"/>
          <w:szCs w:val="24"/>
        </w:rPr>
      </w:pPr>
      <w:r w:rsidRPr="00A60E31">
        <w:rPr>
          <w:rFonts w:ascii="Arial" w:hAnsi="Arial" w:cs="Arial"/>
          <w:sz w:val="24"/>
          <w:szCs w:val="24"/>
        </w:rPr>
        <w:t>Technical Skill</w:t>
      </w:r>
    </w:p>
    <w:p w14:paraId="1C7BCFF0" w14:textId="77777777" w:rsidR="00CD6262" w:rsidRPr="00A60E31" w:rsidRDefault="00CD6262" w:rsidP="00CD6262">
      <w:pPr>
        <w:pStyle w:val="ListParagraph"/>
        <w:numPr>
          <w:ilvl w:val="0"/>
          <w:numId w:val="2"/>
        </w:numPr>
        <w:rPr>
          <w:rFonts w:ascii="Arial" w:hAnsi="Arial" w:cs="Arial"/>
          <w:sz w:val="24"/>
          <w:szCs w:val="24"/>
        </w:rPr>
      </w:pPr>
      <w:r w:rsidRPr="00A60E31">
        <w:rPr>
          <w:rFonts w:ascii="Arial" w:hAnsi="Arial" w:cs="Arial"/>
          <w:sz w:val="24"/>
          <w:szCs w:val="24"/>
        </w:rPr>
        <w:t>Finance Skill</w:t>
      </w:r>
    </w:p>
    <w:p w14:paraId="54E4F50A" w14:textId="77777777" w:rsidR="00CD6262" w:rsidRPr="00A60E31" w:rsidRDefault="00CD6262" w:rsidP="00CD6262">
      <w:pPr>
        <w:pStyle w:val="ListParagraph"/>
        <w:numPr>
          <w:ilvl w:val="0"/>
          <w:numId w:val="2"/>
        </w:numPr>
        <w:rPr>
          <w:rFonts w:ascii="Arial" w:hAnsi="Arial" w:cs="Arial"/>
          <w:sz w:val="24"/>
          <w:szCs w:val="24"/>
        </w:rPr>
      </w:pPr>
      <w:r w:rsidRPr="00A60E31">
        <w:rPr>
          <w:rFonts w:ascii="Arial" w:hAnsi="Arial" w:cs="Arial"/>
          <w:sz w:val="24"/>
          <w:szCs w:val="24"/>
        </w:rPr>
        <w:t>Social/Behavioural Skill</w:t>
      </w:r>
    </w:p>
    <w:p w14:paraId="6E996C14" w14:textId="77777777" w:rsidR="00CD6262" w:rsidRPr="00A60E31" w:rsidRDefault="00CD6262" w:rsidP="00CD6262">
      <w:pPr>
        <w:pStyle w:val="ListParagraph"/>
        <w:numPr>
          <w:ilvl w:val="0"/>
          <w:numId w:val="2"/>
        </w:numPr>
        <w:rPr>
          <w:rFonts w:ascii="Arial" w:hAnsi="Arial" w:cs="Arial"/>
          <w:sz w:val="24"/>
          <w:szCs w:val="24"/>
        </w:rPr>
      </w:pPr>
      <w:r w:rsidRPr="00A60E31">
        <w:rPr>
          <w:rFonts w:ascii="Arial" w:hAnsi="Arial" w:cs="Arial"/>
          <w:sz w:val="24"/>
          <w:szCs w:val="24"/>
        </w:rPr>
        <w:t>Ethics</w:t>
      </w:r>
    </w:p>
    <w:p w14:paraId="0ED4273E" w14:textId="7903B397" w:rsidR="00CD6262" w:rsidRPr="00A60E31" w:rsidRDefault="00CD6262" w:rsidP="00CD6262">
      <w:pPr>
        <w:pStyle w:val="ListParagraph"/>
        <w:numPr>
          <w:ilvl w:val="0"/>
          <w:numId w:val="2"/>
        </w:numPr>
        <w:rPr>
          <w:rFonts w:ascii="Arial" w:hAnsi="Arial" w:cs="Arial"/>
          <w:sz w:val="24"/>
          <w:szCs w:val="24"/>
        </w:rPr>
      </w:pPr>
      <w:r w:rsidRPr="00A60E31">
        <w:rPr>
          <w:rFonts w:ascii="Arial" w:hAnsi="Arial" w:cs="Arial"/>
          <w:sz w:val="24"/>
          <w:szCs w:val="24"/>
        </w:rPr>
        <w:t xml:space="preserve">Decision making </w:t>
      </w:r>
      <w:r w:rsidR="002D3C57" w:rsidRPr="00A60E31">
        <w:rPr>
          <w:rFonts w:ascii="Arial" w:hAnsi="Arial" w:cs="Arial"/>
          <w:sz w:val="24"/>
          <w:szCs w:val="24"/>
        </w:rPr>
        <w:t>skill.</w:t>
      </w:r>
    </w:p>
    <w:p w14:paraId="7BF21F41" w14:textId="0D051ED3" w:rsidR="00CD6262" w:rsidRPr="00A60E31" w:rsidRDefault="00CD6262" w:rsidP="00CD6262">
      <w:pPr>
        <w:rPr>
          <w:rFonts w:ascii="Arial" w:hAnsi="Arial" w:cs="Arial"/>
          <w:sz w:val="24"/>
          <w:szCs w:val="24"/>
        </w:rPr>
      </w:pPr>
      <w:r w:rsidRPr="00A60E31">
        <w:rPr>
          <w:rFonts w:ascii="Arial" w:hAnsi="Arial" w:cs="Arial"/>
          <w:sz w:val="24"/>
          <w:szCs w:val="24"/>
        </w:rPr>
        <w:t xml:space="preserve">As Treasury Management is an umbrella term, the Standard should </w:t>
      </w:r>
      <w:r w:rsidR="00B72F0F" w:rsidRPr="00A60E31">
        <w:rPr>
          <w:rFonts w:ascii="Arial" w:hAnsi="Arial" w:cs="Arial"/>
          <w:sz w:val="24"/>
          <w:szCs w:val="24"/>
        </w:rPr>
        <w:t>place</w:t>
      </w:r>
      <w:r w:rsidRPr="00A60E31">
        <w:rPr>
          <w:rFonts w:ascii="Arial" w:hAnsi="Arial" w:cs="Arial"/>
          <w:sz w:val="24"/>
          <w:szCs w:val="24"/>
        </w:rPr>
        <w:t xml:space="preserve"> emphasis on all the key aspects of Treasury Management in the course and training programmes.</w:t>
      </w:r>
    </w:p>
    <w:p w14:paraId="33B3BE83" w14:textId="77777777" w:rsidR="00FD6104" w:rsidRDefault="00FD6104" w:rsidP="00CD6262">
      <w:pPr>
        <w:rPr>
          <w:rFonts w:ascii="Arial" w:hAnsi="Arial" w:cs="Arial"/>
          <w:sz w:val="24"/>
          <w:szCs w:val="24"/>
        </w:rPr>
      </w:pPr>
    </w:p>
    <w:p w14:paraId="7AC09901" w14:textId="77777777" w:rsidR="00FD6104" w:rsidRDefault="00FD6104" w:rsidP="00CD6262">
      <w:pPr>
        <w:rPr>
          <w:rFonts w:ascii="Arial" w:hAnsi="Arial" w:cs="Arial"/>
          <w:sz w:val="24"/>
          <w:szCs w:val="24"/>
        </w:rPr>
      </w:pPr>
    </w:p>
    <w:p w14:paraId="0E3A683D" w14:textId="77777777" w:rsidR="00FD6104" w:rsidRDefault="00FD6104" w:rsidP="00CD6262">
      <w:pPr>
        <w:rPr>
          <w:rFonts w:ascii="Arial" w:hAnsi="Arial" w:cs="Arial"/>
          <w:sz w:val="24"/>
          <w:szCs w:val="24"/>
        </w:rPr>
      </w:pPr>
    </w:p>
    <w:p w14:paraId="7AAAB4CF" w14:textId="77777777" w:rsidR="00FD6104" w:rsidRDefault="00FD6104" w:rsidP="00FD6104">
      <w:pPr>
        <w:jc w:val="right"/>
        <w:rPr>
          <w:rFonts w:ascii="Arial" w:hAnsi="Arial" w:cs="Arial"/>
          <w:sz w:val="24"/>
          <w:szCs w:val="24"/>
        </w:rPr>
      </w:pPr>
      <w:r w:rsidRPr="00F238E1">
        <w:rPr>
          <w:rFonts w:cstheme="minorHAnsi"/>
          <w:noProof/>
          <w:sz w:val="24"/>
          <w:szCs w:val="24"/>
          <w:lang w:eastAsia="en-IN"/>
        </w:rPr>
        <w:drawing>
          <wp:inline distT="0" distB="0" distL="0" distR="0" wp14:anchorId="580D4340" wp14:editId="0FD9E444">
            <wp:extent cx="1714500" cy="607930"/>
            <wp:effectExtent l="0" t="0" r="0" b="1905"/>
            <wp:docPr id="6" name="Picture 6"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12A6077D" w14:textId="370CA1DF" w:rsidR="00CD6262" w:rsidRDefault="00CD6262" w:rsidP="00CD6262">
      <w:pPr>
        <w:rPr>
          <w:rFonts w:ascii="Arial" w:hAnsi="Arial" w:cs="Arial"/>
          <w:sz w:val="24"/>
          <w:szCs w:val="24"/>
        </w:rPr>
      </w:pPr>
      <w:r w:rsidRPr="00A60E31">
        <w:rPr>
          <w:rFonts w:ascii="Arial" w:hAnsi="Arial" w:cs="Arial"/>
          <w:sz w:val="24"/>
          <w:szCs w:val="24"/>
        </w:rPr>
        <w:t>The key aspects to cover in Treasury Management will be:</w:t>
      </w:r>
    </w:p>
    <w:p w14:paraId="5590995D" w14:textId="77777777" w:rsidR="00BC35F9" w:rsidRDefault="00BC35F9" w:rsidP="00BC35F9">
      <w:pPr>
        <w:rPr>
          <w:rFonts w:ascii="Arial" w:hAnsi="Arial" w:cs="Arial"/>
          <w:b/>
        </w:rPr>
      </w:pPr>
      <w:r w:rsidRPr="00A60E31">
        <w:rPr>
          <w:rFonts w:ascii="Arial" w:hAnsi="Arial" w:cs="Arial"/>
          <w:b/>
        </w:rPr>
        <w:t>A. Liquidity Management</w:t>
      </w:r>
    </w:p>
    <w:p w14:paraId="6EC9EDBF" w14:textId="5BDB572A" w:rsidR="00552AA2" w:rsidRDefault="00BC35F9" w:rsidP="00CD6262">
      <w:pPr>
        <w:rPr>
          <w:rFonts w:ascii="Arial" w:hAnsi="Arial" w:cs="Arial"/>
          <w:b/>
        </w:rPr>
      </w:pPr>
      <w:r>
        <w:rPr>
          <w:rFonts w:ascii="Arial" w:hAnsi="Arial" w:cs="Arial"/>
          <w:b/>
        </w:rPr>
        <w:t>Liquidity Management is one of the most important functions of treasury. The primary task is to ensure that adequate funds are available for the bank’s operations.</w:t>
      </w:r>
    </w:p>
    <w:p w14:paraId="53245D86" w14:textId="385DE91D" w:rsidR="00127CA3" w:rsidRPr="00B86DB0" w:rsidRDefault="00CD6262" w:rsidP="00B86DB0">
      <w:pPr>
        <w:rPr>
          <w:rFonts w:ascii="Arial" w:hAnsi="Arial" w:cs="Arial"/>
          <w:sz w:val="24"/>
          <w:szCs w:val="24"/>
        </w:rPr>
      </w:pPr>
      <w:r w:rsidRPr="00A60E31">
        <w:rPr>
          <w:rFonts w:ascii="Arial" w:hAnsi="Arial" w:cs="Arial"/>
          <w:sz w:val="24"/>
          <w:szCs w:val="24"/>
        </w:rPr>
        <w:t>The Standards should focus on the following aspects:</w:t>
      </w:r>
    </w:p>
    <w:p w14:paraId="01D969BC" w14:textId="196BAEFA" w:rsidR="00CD6262" w:rsidRPr="00A60E31" w:rsidRDefault="00CD6262" w:rsidP="00CD6262">
      <w:pPr>
        <w:pStyle w:val="ListParagraph"/>
        <w:numPr>
          <w:ilvl w:val="0"/>
          <w:numId w:val="3"/>
        </w:numPr>
        <w:rPr>
          <w:rFonts w:ascii="Arial" w:hAnsi="Arial" w:cs="Arial"/>
          <w:sz w:val="24"/>
          <w:szCs w:val="24"/>
        </w:rPr>
      </w:pPr>
      <w:r w:rsidRPr="00A60E31">
        <w:rPr>
          <w:rFonts w:ascii="Arial" w:hAnsi="Arial" w:cs="Arial"/>
          <w:sz w:val="24"/>
          <w:szCs w:val="24"/>
        </w:rPr>
        <w:t xml:space="preserve">Forecast cashflow </w:t>
      </w:r>
      <w:r w:rsidR="002D3C57" w:rsidRPr="00A60E31">
        <w:rPr>
          <w:rFonts w:ascii="Arial" w:hAnsi="Arial" w:cs="Arial"/>
          <w:sz w:val="24"/>
          <w:szCs w:val="24"/>
        </w:rPr>
        <w:t>positions</w:t>
      </w:r>
    </w:p>
    <w:p w14:paraId="0CB9F02C" w14:textId="77777777" w:rsidR="00CD6262" w:rsidRPr="00A60E31" w:rsidRDefault="00CD6262" w:rsidP="00CD6262">
      <w:pPr>
        <w:pStyle w:val="ListParagraph"/>
        <w:numPr>
          <w:ilvl w:val="0"/>
          <w:numId w:val="3"/>
        </w:numPr>
        <w:rPr>
          <w:rFonts w:ascii="Arial" w:hAnsi="Arial" w:cs="Arial"/>
          <w:sz w:val="24"/>
          <w:szCs w:val="24"/>
        </w:rPr>
      </w:pPr>
      <w:r w:rsidRPr="00A60E31">
        <w:rPr>
          <w:rFonts w:ascii="Arial" w:hAnsi="Arial" w:cs="Arial"/>
          <w:sz w:val="24"/>
          <w:szCs w:val="24"/>
        </w:rPr>
        <w:t>Short term/long term liquidity management</w:t>
      </w:r>
    </w:p>
    <w:p w14:paraId="543F752B" w14:textId="564FE025" w:rsidR="00CD6262" w:rsidRPr="00A60E31" w:rsidRDefault="00CD6262" w:rsidP="00CD6262">
      <w:pPr>
        <w:pStyle w:val="ListParagraph"/>
        <w:numPr>
          <w:ilvl w:val="0"/>
          <w:numId w:val="3"/>
        </w:numPr>
        <w:rPr>
          <w:rFonts w:ascii="Arial" w:hAnsi="Arial" w:cs="Arial"/>
          <w:sz w:val="24"/>
          <w:szCs w:val="24"/>
        </w:rPr>
      </w:pPr>
      <w:r w:rsidRPr="00A60E31">
        <w:rPr>
          <w:rFonts w:ascii="Arial" w:hAnsi="Arial" w:cs="Arial"/>
          <w:sz w:val="24"/>
          <w:szCs w:val="24"/>
        </w:rPr>
        <w:t>Funds for business development</w:t>
      </w:r>
      <w:r w:rsidR="00B86DB0">
        <w:rPr>
          <w:rFonts w:ascii="Arial" w:hAnsi="Arial" w:cs="Arial"/>
          <w:sz w:val="24"/>
          <w:szCs w:val="24"/>
        </w:rPr>
        <w:t>/investment</w:t>
      </w:r>
    </w:p>
    <w:p w14:paraId="217ED166" w14:textId="723DCA1F" w:rsidR="00CD6262" w:rsidRDefault="00CD6262" w:rsidP="00CD6262">
      <w:pPr>
        <w:pStyle w:val="ListParagraph"/>
        <w:numPr>
          <w:ilvl w:val="0"/>
          <w:numId w:val="3"/>
        </w:numPr>
        <w:rPr>
          <w:rFonts w:ascii="Arial" w:hAnsi="Arial" w:cs="Arial"/>
          <w:sz w:val="24"/>
          <w:szCs w:val="24"/>
        </w:rPr>
      </w:pPr>
      <w:r w:rsidRPr="00A60E31">
        <w:rPr>
          <w:rFonts w:ascii="Arial" w:hAnsi="Arial" w:cs="Arial"/>
          <w:sz w:val="24"/>
          <w:szCs w:val="24"/>
        </w:rPr>
        <w:t>Efficient sourcing of capital</w:t>
      </w:r>
    </w:p>
    <w:p w14:paraId="108602F5" w14:textId="25ACECAD" w:rsidR="00910982" w:rsidRPr="00910982" w:rsidRDefault="00B86DB0" w:rsidP="00B86DB0">
      <w:pPr>
        <w:rPr>
          <w:rFonts w:ascii="Arial" w:hAnsi="Arial" w:cs="Arial"/>
          <w:sz w:val="24"/>
          <w:szCs w:val="24"/>
        </w:rPr>
      </w:pPr>
      <w:r>
        <w:rPr>
          <w:rFonts w:ascii="Arial" w:hAnsi="Arial" w:cs="Arial"/>
          <w:sz w:val="24"/>
          <w:szCs w:val="24"/>
        </w:rPr>
        <w:t>Dynamic planning is the key to the success of liquidity management.</w:t>
      </w:r>
    </w:p>
    <w:p w14:paraId="1933F7FF" w14:textId="045BA269" w:rsidR="00CD6262" w:rsidRDefault="00CD6262" w:rsidP="00CD6262">
      <w:pPr>
        <w:rPr>
          <w:rFonts w:ascii="Arial" w:hAnsi="Arial" w:cs="Arial"/>
          <w:b/>
        </w:rPr>
      </w:pPr>
      <w:r w:rsidRPr="00A60E31">
        <w:rPr>
          <w:rFonts w:ascii="Arial" w:hAnsi="Arial" w:cs="Arial"/>
          <w:b/>
        </w:rPr>
        <w:t>B. Risk Management in Treasury Operations</w:t>
      </w:r>
    </w:p>
    <w:p w14:paraId="4A7244F9" w14:textId="29E2272E" w:rsidR="00AC0AAF" w:rsidRPr="00A60E31" w:rsidRDefault="00AC0AAF" w:rsidP="00CD6262">
      <w:pPr>
        <w:rPr>
          <w:rFonts w:ascii="Arial" w:hAnsi="Arial" w:cs="Arial"/>
          <w:b/>
        </w:rPr>
      </w:pPr>
      <w:r>
        <w:rPr>
          <w:rFonts w:ascii="Arial" w:hAnsi="Arial" w:cs="Arial"/>
          <w:b/>
        </w:rPr>
        <w:t xml:space="preserve">Treasury Professionals must be </w:t>
      </w:r>
      <w:r w:rsidR="00C9424C">
        <w:rPr>
          <w:rFonts w:ascii="Arial" w:hAnsi="Arial" w:cs="Arial"/>
          <w:b/>
        </w:rPr>
        <w:t>vigilant to safeguard the treasury portfolio and liquidity against potential risks.</w:t>
      </w:r>
    </w:p>
    <w:p w14:paraId="598C936A" w14:textId="2A51BC32" w:rsidR="001F79E6" w:rsidRPr="00A60E31" w:rsidRDefault="00F915C1" w:rsidP="001F79E6">
      <w:pPr>
        <w:jc w:val="both"/>
        <w:rPr>
          <w:rFonts w:ascii="Arial" w:hAnsi="Arial" w:cs="Arial"/>
          <w:sz w:val="24"/>
          <w:szCs w:val="24"/>
        </w:rPr>
      </w:pPr>
      <w:r>
        <w:rPr>
          <w:rFonts w:ascii="Arial" w:hAnsi="Arial" w:cs="Arial"/>
          <w:sz w:val="24"/>
          <w:szCs w:val="24"/>
        </w:rPr>
        <w:t xml:space="preserve">Risk profile of </w:t>
      </w:r>
      <w:r w:rsidR="001F79E6" w:rsidRPr="00A60E31">
        <w:rPr>
          <w:rFonts w:ascii="Arial" w:hAnsi="Arial" w:cs="Arial"/>
          <w:sz w:val="24"/>
          <w:szCs w:val="24"/>
        </w:rPr>
        <w:t xml:space="preserve">treasury activities consists of </w:t>
      </w:r>
      <w:r w:rsidR="00087852" w:rsidRPr="00A60E31">
        <w:rPr>
          <w:rFonts w:ascii="Arial" w:hAnsi="Arial" w:cs="Arial"/>
          <w:sz w:val="24"/>
          <w:szCs w:val="24"/>
        </w:rPr>
        <w:t>three</w:t>
      </w:r>
      <w:r w:rsidR="001F79E6" w:rsidRPr="00A60E31">
        <w:rPr>
          <w:rFonts w:ascii="Arial" w:hAnsi="Arial" w:cs="Arial"/>
          <w:sz w:val="24"/>
          <w:szCs w:val="24"/>
        </w:rPr>
        <w:t xml:space="preserve"> broad categories, viz., Financial Risk</w:t>
      </w:r>
      <w:r w:rsidR="00E76C7F">
        <w:rPr>
          <w:rFonts w:ascii="Arial" w:hAnsi="Arial" w:cs="Arial"/>
          <w:sz w:val="24"/>
          <w:szCs w:val="24"/>
        </w:rPr>
        <w:t>,</w:t>
      </w:r>
      <w:r w:rsidR="001F79E6" w:rsidRPr="00A60E31">
        <w:rPr>
          <w:rFonts w:ascii="Arial" w:hAnsi="Arial" w:cs="Arial"/>
          <w:sz w:val="24"/>
          <w:szCs w:val="24"/>
        </w:rPr>
        <w:t xml:space="preserve"> Operational Risk</w:t>
      </w:r>
      <w:r w:rsidR="00E76C7F">
        <w:rPr>
          <w:rFonts w:ascii="Arial" w:hAnsi="Arial" w:cs="Arial"/>
          <w:sz w:val="24"/>
          <w:szCs w:val="24"/>
        </w:rPr>
        <w:t xml:space="preserve"> and Foreign Exchange Risk</w:t>
      </w:r>
      <w:r w:rsidR="001F79E6" w:rsidRPr="00A60E31">
        <w:rPr>
          <w:rFonts w:ascii="Arial" w:hAnsi="Arial" w:cs="Arial"/>
          <w:sz w:val="24"/>
          <w:szCs w:val="24"/>
        </w:rPr>
        <w:t>.</w:t>
      </w:r>
    </w:p>
    <w:p w14:paraId="010039C1" w14:textId="71E04D6A" w:rsidR="001F79E6" w:rsidRPr="00A60E31" w:rsidRDefault="00874299" w:rsidP="001F79E6">
      <w:pPr>
        <w:jc w:val="both"/>
        <w:rPr>
          <w:rFonts w:ascii="Arial" w:hAnsi="Arial" w:cs="Arial"/>
          <w:sz w:val="24"/>
          <w:szCs w:val="24"/>
        </w:rPr>
      </w:pPr>
      <w:r w:rsidRPr="00A60E31">
        <w:rPr>
          <w:rFonts w:ascii="Arial" w:hAnsi="Arial" w:cs="Arial"/>
          <w:sz w:val="24"/>
          <w:szCs w:val="24"/>
        </w:rPr>
        <w:t xml:space="preserve">(a) </w:t>
      </w:r>
      <w:r w:rsidR="001F79E6" w:rsidRPr="00A60E31">
        <w:rPr>
          <w:rFonts w:ascii="Arial" w:hAnsi="Arial" w:cs="Arial"/>
          <w:sz w:val="24"/>
          <w:szCs w:val="24"/>
        </w:rPr>
        <w:t>Financial risks include</w:t>
      </w:r>
      <w:r w:rsidR="00B43E94" w:rsidRPr="00A60E31">
        <w:rPr>
          <w:rFonts w:ascii="Arial" w:hAnsi="Arial" w:cs="Arial"/>
          <w:sz w:val="24"/>
          <w:szCs w:val="24"/>
        </w:rPr>
        <w:t>:</w:t>
      </w:r>
      <w:r w:rsidRPr="00A60E31">
        <w:rPr>
          <w:rFonts w:ascii="Arial" w:hAnsi="Arial" w:cs="Arial"/>
          <w:sz w:val="24"/>
          <w:szCs w:val="24"/>
        </w:rPr>
        <w:t xml:space="preserve"> (</w:t>
      </w:r>
      <w:proofErr w:type="spellStart"/>
      <w:r w:rsidRPr="00A60E31">
        <w:rPr>
          <w:rFonts w:ascii="Arial" w:hAnsi="Arial" w:cs="Arial"/>
          <w:sz w:val="24"/>
          <w:szCs w:val="24"/>
        </w:rPr>
        <w:t>i</w:t>
      </w:r>
      <w:proofErr w:type="spellEnd"/>
      <w:r w:rsidRPr="00A60E31">
        <w:rPr>
          <w:rFonts w:ascii="Arial" w:hAnsi="Arial" w:cs="Arial"/>
          <w:sz w:val="24"/>
          <w:szCs w:val="24"/>
        </w:rPr>
        <w:t>) market risk</w:t>
      </w:r>
      <w:r w:rsidR="001F79E6" w:rsidRPr="00A60E31">
        <w:rPr>
          <w:rFonts w:ascii="Arial" w:hAnsi="Arial" w:cs="Arial"/>
          <w:sz w:val="24"/>
          <w:szCs w:val="24"/>
        </w:rPr>
        <w:t xml:space="preserve"> (interest rate risk, price risk, basis risk), </w:t>
      </w:r>
      <w:r w:rsidRPr="00A60E31">
        <w:rPr>
          <w:rFonts w:ascii="Arial" w:hAnsi="Arial" w:cs="Arial"/>
          <w:sz w:val="24"/>
          <w:szCs w:val="24"/>
        </w:rPr>
        <w:t>(ii) credit risk and</w:t>
      </w:r>
      <w:r w:rsidR="001F79E6" w:rsidRPr="00A60E31">
        <w:rPr>
          <w:rFonts w:ascii="Arial" w:hAnsi="Arial" w:cs="Arial"/>
          <w:sz w:val="24"/>
          <w:szCs w:val="24"/>
        </w:rPr>
        <w:t xml:space="preserve"> </w:t>
      </w:r>
      <w:r w:rsidRPr="00A60E31">
        <w:rPr>
          <w:rFonts w:ascii="Arial" w:hAnsi="Arial" w:cs="Arial"/>
          <w:sz w:val="24"/>
          <w:szCs w:val="24"/>
        </w:rPr>
        <w:t>(iii) liquidity risks</w:t>
      </w:r>
      <w:r w:rsidR="001F79E6" w:rsidRPr="00A60E31">
        <w:rPr>
          <w:rFonts w:ascii="Arial" w:hAnsi="Arial" w:cs="Arial"/>
          <w:sz w:val="24"/>
          <w:szCs w:val="24"/>
        </w:rPr>
        <w:t>.</w:t>
      </w:r>
    </w:p>
    <w:p w14:paraId="00B45857" w14:textId="0EEEEA33" w:rsidR="001F79E6" w:rsidRDefault="00B43E94" w:rsidP="001F79E6">
      <w:pPr>
        <w:jc w:val="both"/>
        <w:rPr>
          <w:rFonts w:ascii="Arial" w:hAnsi="Arial" w:cs="Arial"/>
          <w:sz w:val="24"/>
          <w:szCs w:val="24"/>
        </w:rPr>
      </w:pPr>
      <w:r w:rsidRPr="00A60E31">
        <w:rPr>
          <w:rFonts w:ascii="Arial" w:hAnsi="Arial" w:cs="Arial"/>
          <w:sz w:val="24"/>
          <w:szCs w:val="24"/>
        </w:rPr>
        <w:t xml:space="preserve">(b) </w:t>
      </w:r>
      <w:r w:rsidR="001F79E6" w:rsidRPr="00A60E31">
        <w:rPr>
          <w:rFonts w:ascii="Arial" w:hAnsi="Arial" w:cs="Arial"/>
          <w:sz w:val="24"/>
          <w:szCs w:val="24"/>
        </w:rPr>
        <w:t>Operational Risks include</w:t>
      </w:r>
      <w:r w:rsidRPr="00A60E31">
        <w:rPr>
          <w:rFonts w:ascii="Arial" w:hAnsi="Arial" w:cs="Arial"/>
          <w:sz w:val="24"/>
          <w:szCs w:val="24"/>
        </w:rPr>
        <w:t>: (</w:t>
      </w:r>
      <w:proofErr w:type="spellStart"/>
      <w:r w:rsidRPr="00A60E31">
        <w:rPr>
          <w:rFonts w:ascii="Arial" w:hAnsi="Arial" w:cs="Arial"/>
          <w:sz w:val="24"/>
          <w:szCs w:val="24"/>
        </w:rPr>
        <w:t>i</w:t>
      </w:r>
      <w:proofErr w:type="spellEnd"/>
      <w:r w:rsidRPr="00A60E31">
        <w:rPr>
          <w:rFonts w:ascii="Arial" w:hAnsi="Arial" w:cs="Arial"/>
          <w:sz w:val="24"/>
          <w:szCs w:val="24"/>
        </w:rPr>
        <w:t xml:space="preserve">) </w:t>
      </w:r>
      <w:r w:rsidR="001F79E6" w:rsidRPr="00A60E31">
        <w:rPr>
          <w:rFonts w:ascii="Arial" w:hAnsi="Arial" w:cs="Arial"/>
          <w:sz w:val="24"/>
          <w:szCs w:val="24"/>
        </w:rPr>
        <w:t xml:space="preserve">systemic risk, </w:t>
      </w:r>
      <w:r w:rsidRPr="00A60E31">
        <w:rPr>
          <w:rFonts w:ascii="Arial" w:hAnsi="Arial" w:cs="Arial"/>
          <w:sz w:val="24"/>
          <w:szCs w:val="24"/>
        </w:rPr>
        <w:t xml:space="preserve">(ii) </w:t>
      </w:r>
      <w:r w:rsidR="001F79E6" w:rsidRPr="00A60E31">
        <w:rPr>
          <w:rFonts w:ascii="Arial" w:hAnsi="Arial" w:cs="Arial"/>
          <w:sz w:val="24"/>
          <w:szCs w:val="24"/>
        </w:rPr>
        <w:t xml:space="preserve">compliance risk, </w:t>
      </w:r>
      <w:r w:rsidRPr="00A60E31">
        <w:rPr>
          <w:rFonts w:ascii="Arial" w:hAnsi="Arial" w:cs="Arial"/>
          <w:sz w:val="24"/>
          <w:szCs w:val="24"/>
        </w:rPr>
        <w:t>(iii) legal risk</w:t>
      </w:r>
      <w:r w:rsidR="001F79E6" w:rsidRPr="00A60E31">
        <w:rPr>
          <w:rFonts w:ascii="Arial" w:hAnsi="Arial" w:cs="Arial"/>
          <w:sz w:val="24"/>
          <w:szCs w:val="24"/>
        </w:rPr>
        <w:t xml:space="preserve">, </w:t>
      </w:r>
      <w:r w:rsidRPr="00A60E31">
        <w:rPr>
          <w:rFonts w:ascii="Arial" w:hAnsi="Arial" w:cs="Arial"/>
          <w:sz w:val="24"/>
          <w:szCs w:val="24"/>
        </w:rPr>
        <w:t xml:space="preserve">(iv) </w:t>
      </w:r>
      <w:r w:rsidR="001F79E6" w:rsidRPr="00A60E31">
        <w:rPr>
          <w:rFonts w:ascii="Arial" w:hAnsi="Arial" w:cs="Arial"/>
          <w:sz w:val="24"/>
          <w:szCs w:val="24"/>
        </w:rPr>
        <w:t>IT risk</w:t>
      </w:r>
      <w:r w:rsidRPr="00A60E31">
        <w:rPr>
          <w:rFonts w:ascii="Arial" w:hAnsi="Arial" w:cs="Arial"/>
          <w:sz w:val="24"/>
          <w:szCs w:val="24"/>
        </w:rPr>
        <w:t xml:space="preserve"> </w:t>
      </w:r>
      <w:r w:rsidR="00CD070F" w:rsidRPr="00A60E31">
        <w:rPr>
          <w:rFonts w:ascii="Arial" w:hAnsi="Arial" w:cs="Arial"/>
          <w:sz w:val="24"/>
          <w:szCs w:val="24"/>
        </w:rPr>
        <w:t>and (</w:t>
      </w:r>
      <w:r w:rsidRPr="00A60E31">
        <w:rPr>
          <w:rFonts w:ascii="Arial" w:hAnsi="Arial" w:cs="Arial"/>
          <w:sz w:val="24"/>
          <w:szCs w:val="24"/>
        </w:rPr>
        <w:t>v) fraud risk</w:t>
      </w:r>
      <w:r w:rsidR="001F79E6" w:rsidRPr="00A60E31">
        <w:rPr>
          <w:rFonts w:ascii="Arial" w:hAnsi="Arial" w:cs="Arial"/>
          <w:sz w:val="24"/>
          <w:szCs w:val="24"/>
        </w:rPr>
        <w:t>.</w:t>
      </w:r>
    </w:p>
    <w:p w14:paraId="7E9B5534" w14:textId="7F2ADDB6" w:rsidR="00932275" w:rsidRPr="00A60E31" w:rsidRDefault="00932275" w:rsidP="001F79E6">
      <w:pPr>
        <w:jc w:val="both"/>
        <w:rPr>
          <w:rFonts w:ascii="Arial" w:hAnsi="Arial" w:cs="Arial"/>
          <w:sz w:val="24"/>
          <w:szCs w:val="24"/>
        </w:rPr>
      </w:pPr>
      <w:r>
        <w:rPr>
          <w:rFonts w:ascii="Arial" w:hAnsi="Arial" w:cs="Arial"/>
          <w:sz w:val="24"/>
          <w:szCs w:val="24"/>
        </w:rPr>
        <w:t>(c) Foreign Exchange Ris</w:t>
      </w:r>
      <w:r w:rsidR="00F915C1">
        <w:rPr>
          <w:rFonts w:ascii="Arial" w:hAnsi="Arial" w:cs="Arial"/>
          <w:sz w:val="24"/>
          <w:szCs w:val="24"/>
        </w:rPr>
        <w:t xml:space="preserve">k includes the volatility of currencies and </w:t>
      </w:r>
      <w:r>
        <w:rPr>
          <w:rFonts w:ascii="Arial" w:hAnsi="Arial" w:cs="Arial"/>
          <w:sz w:val="24"/>
          <w:szCs w:val="24"/>
        </w:rPr>
        <w:t>consequent effects on treasury operations.</w:t>
      </w:r>
    </w:p>
    <w:p w14:paraId="1F482C78" w14:textId="0BF6FD5E" w:rsidR="001F79E6" w:rsidRPr="00A60E31" w:rsidRDefault="001F79E6" w:rsidP="001F79E6">
      <w:pPr>
        <w:jc w:val="both"/>
        <w:rPr>
          <w:rFonts w:ascii="Arial" w:hAnsi="Arial" w:cs="Arial"/>
          <w:sz w:val="24"/>
          <w:szCs w:val="24"/>
        </w:rPr>
      </w:pPr>
      <w:r w:rsidRPr="00A60E31">
        <w:rPr>
          <w:rFonts w:ascii="Arial" w:hAnsi="Arial" w:cs="Arial"/>
          <w:sz w:val="24"/>
          <w:szCs w:val="24"/>
        </w:rPr>
        <w:t>For mitigation of such risks, various prudential guidelines prescribed by the regulators and internal</w:t>
      </w:r>
      <w:r w:rsidR="002B335E" w:rsidRPr="00A60E31">
        <w:rPr>
          <w:rFonts w:ascii="Arial" w:hAnsi="Arial" w:cs="Arial"/>
          <w:sz w:val="24"/>
          <w:szCs w:val="24"/>
        </w:rPr>
        <w:t xml:space="preserve"> </w:t>
      </w:r>
      <w:r w:rsidRPr="00A60E31">
        <w:rPr>
          <w:rFonts w:ascii="Arial" w:hAnsi="Arial" w:cs="Arial"/>
          <w:sz w:val="24"/>
          <w:szCs w:val="24"/>
        </w:rPr>
        <w:t>policies and procedures laid down by the management are to be scrupulously followed.</w:t>
      </w:r>
    </w:p>
    <w:p w14:paraId="07BA31FF" w14:textId="2EDEA9D6" w:rsidR="001F79E6" w:rsidRPr="00A60E31" w:rsidRDefault="001F79E6" w:rsidP="001F79E6">
      <w:pPr>
        <w:jc w:val="both"/>
        <w:rPr>
          <w:rFonts w:ascii="Arial" w:hAnsi="Arial" w:cs="Arial"/>
          <w:sz w:val="24"/>
          <w:szCs w:val="24"/>
        </w:rPr>
      </w:pPr>
      <w:r w:rsidRPr="00A60E31">
        <w:rPr>
          <w:rFonts w:ascii="Arial" w:hAnsi="Arial" w:cs="Arial"/>
          <w:sz w:val="24"/>
          <w:szCs w:val="24"/>
        </w:rPr>
        <w:t>Most of the treasury activities, like investments in bonds, forex positions, etc., predominantly involve high degree of market risks than credit risks.</w:t>
      </w:r>
    </w:p>
    <w:p w14:paraId="73B6B3C0" w14:textId="5D607837" w:rsidR="00286394" w:rsidRPr="00A60E31" w:rsidRDefault="00286394" w:rsidP="001F79E6">
      <w:pPr>
        <w:jc w:val="both"/>
        <w:rPr>
          <w:rFonts w:ascii="Arial" w:hAnsi="Arial" w:cs="Arial"/>
          <w:sz w:val="24"/>
          <w:szCs w:val="24"/>
        </w:rPr>
      </w:pPr>
      <w:r w:rsidRPr="00A60E31">
        <w:rPr>
          <w:rFonts w:ascii="Arial" w:hAnsi="Arial" w:cs="Arial"/>
          <w:sz w:val="24"/>
          <w:szCs w:val="24"/>
        </w:rPr>
        <w:t>Risk</w:t>
      </w:r>
      <w:r w:rsidR="00CD59F2" w:rsidRPr="00A60E31">
        <w:rPr>
          <w:rFonts w:ascii="Arial" w:hAnsi="Arial" w:cs="Arial"/>
          <w:sz w:val="24"/>
          <w:szCs w:val="24"/>
        </w:rPr>
        <w:t>s</w:t>
      </w:r>
      <w:r w:rsidRPr="00A60E31">
        <w:rPr>
          <w:rFonts w:ascii="Arial" w:hAnsi="Arial" w:cs="Arial"/>
          <w:sz w:val="24"/>
          <w:szCs w:val="24"/>
        </w:rPr>
        <w:t xml:space="preserve"> can be mitigated by:</w:t>
      </w:r>
    </w:p>
    <w:p w14:paraId="79BD9F1D" w14:textId="6B5FFA9B" w:rsidR="00CD6262" w:rsidRPr="00A60E31" w:rsidRDefault="00CD6262" w:rsidP="00E355C1">
      <w:pPr>
        <w:jc w:val="both"/>
        <w:rPr>
          <w:rFonts w:ascii="Arial" w:hAnsi="Arial" w:cs="Arial"/>
          <w:sz w:val="24"/>
          <w:szCs w:val="24"/>
        </w:rPr>
      </w:pPr>
      <w:proofErr w:type="spellStart"/>
      <w:r w:rsidRPr="00A60E31">
        <w:rPr>
          <w:rFonts w:ascii="Arial" w:hAnsi="Arial" w:cs="Arial"/>
          <w:sz w:val="24"/>
          <w:szCs w:val="24"/>
        </w:rPr>
        <w:t>i</w:t>
      </w:r>
      <w:proofErr w:type="spellEnd"/>
      <w:r w:rsidRPr="00A60E31">
        <w:rPr>
          <w:rFonts w:ascii="Arial" w:hAnsi="Arial" w:cs="Arial"/>
          <w:sz w:val="24"/>
          <w:szCs w:val="24"/>
        </w:rPr>
        <w:t>. Managing Investment Risk</w:t>
      </w:r>
      <w:r w:rsidR="00E355C1" w:rsidRPr="00A60E31">
        <w:rPr>
          <w:rFonts w:ascii="Arial" w:hAnsi="Arial" w:cs="Arial"/>
          <w:sz w:val="24"/>
          <w:szCs w:val="24"/>
        </w:rPr>
        <w:t xml:space="preserve"> by close monitoring of the portfolio</w:t>
      </w:r>
      <w:r w:rsidR="00195671" w:rsidRPr="00A60E31">
        <w:rPr>
          <w:rFonts w:ascii="Arial" w:hAnsi="Arial" w:cs="Arial"/>
          <w:sz w:val="24"/>
          <w:szCs w:val="24"/>
        </w:rPr>
        <w:t xml:space="preserve"> and relevant market conditions, as well as monitoring the financials of corporates and rating migration at periodic intervals and re-balancing of portfolio at least once in a year.</w:t>
      </w:r>
    </w:p>
    <w:p w14:paraId="7A8E258D" w14:textId="555B9B78" w:rsidR="00CD6262" w:rsidRPr="00A60E31" w:rsidRDefault="00CD6262" w:rsidP="00E355C1">
      <w:pPr>
        <w:jc w:val="both"/>
        <w:rPr>
          <w:rFonts w:ascii="Arial" w:hAnsi="Arial" w:cs="Arial"/>
          <w:sz w:val="24"/>
          <w:szCs w:val="24"/>
        </w:rPr>
      </w:pPr>
      <w:r w:rsidRPr="00A60E31">
        <w:rPr>
          <w:rFonts w:ascii="Arial" w:hAnsi="Arial" w:cs="Arial"/>
          <w:sz w:val="24"/>
          <w:szCs w:val="24"/>
        </w:rPr>
        <w:t>ii. Minimising Financial Risk through continuous analysis, anticipating the future uncertainties and size of the treasury portfolio.</w:t>
      </w:r>
      <w:r w:rsidR="001C3C51" w:rsidRPr="00A60E31">
        <w:rPr>
          <w:rFonts w:ascii="Arial" w:hAnsi="Arial" w:cs="Arial"/>
          <w:sz w:val="24"/>
          <w:szCs w:val="24"/>
        </w:rPr>
        <w:t xml:space="preserve"> </w:t>
      </w:r>
      <w:r w:rsidR="007A2BAB" w:rsidRPr="00A60E31">
        <w:rPr>
          <w:rFonts w:ascii="Arial" w:hAnsi="Arial" w:cs="Arial"/>
          <w:sz w:val="24"/>
          <w:szCs w:val="24"/>
        </w:rPr>
        <w:t xml:space="preserve">Exposure norms to be followed diligently for </w:t>
      </w:r>
      <w:r w:rsidR="006B08B6" w:rsidRPr="00A60E31">
        <w:rPr>
          <w:rFonts w:ascii="Arial" w:hAnsi="Arial" w:cs="Arial"/>
          <w:sz w:val="24"/>
          <w:szCs w:val="24"/>
        </w:rPr>
        <w:t xml:space="preserve">avoiding concentration risk. </w:t>
      </w:r>
    </w:p>
    <w:p w14:paraId="65A4D6CC" w14:textId="6A68D5A1" w:rsidR="000746C5" w:rsidRDefault="000746C5" w:rsidP="000746C5">
      <w:pPr>
        <w:jc w:val="right"/>
        <w:rPr>
          <w:rFonts w:ascii="Arial" w:hAnsi="Arial" w:cs="Arial"/>
          <w:sz w:val="24"/>
          <w:szCs w:val="24"/>
        </w:rPr>
      </w:pPr>
      <w:r w:rsidRPr="00F238E1">
        <w:rPr>
          <w:rFonts w:cstheme="minorHAnsi"/>
          <w:noProof/>
          <w:sz w:val="24"/>
          <w:szCs w:val="24"/>
          <w:lang w:eastAsia="en-IN"/>
        </w:rPr>
        <w:lastRenderedPageBreak/>
        <w:drawing>
          <wp:inline distT="0" distB="0" distL="0" distR="0" wp14:anchorId="52D86238" wp14:editId="523CEB4A">
            <wp:extent cx="1714500" cy="607930"/>
            <wp:effectExtent l="0" t="0" r="0" b="1905"/>
            <wp:docPr id="7" name="Picture 7"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590E8F80" w14:textId="57AA6356" w:rsidR="00A9361C" w:rsidRDefault="00CD6262" w:rsidP="000746C5">
      <w:pPr>
        <w:jc w:val="both"/>
        <w:rPr>
          <w:rFonts w:ascii="Arial" w:hAnsi="Arial" w:cs="Arial"/>
          <w:sz w:val="24"/>
          <w:szCs w:val="24"/>
        </w:rPr>
      </w:pPr>
      <w:r w:rsidRPr="00A60E31">
        <w:rPr>
          <w:rFonts w:ascii="Arial" w:hAnsi="Arial" w:cs="Arial"/>
          <w:sz w:val="24"/>
          <w:szCs w:val="24"/>
        </w:rPr>
        <w:t>iii. Navigating market risk</w:t>
      </w:r>
      <w:r w:rsidR="00E355C1" w:rsidRPr="00A60E31">
        <w:rPr>
          <w:rFonts w:ascii="Arial" w:hAnsi="Arial" w:cs="Arial"/>
          <w:sz w:val="24"/>
          <w:szCs w:val="24"/>
        </w:rPr>
        <w:t xml:space="preserve"> by taking cognizance of the </w:t>
      </w:r>
      <w:r w:rsidR="002F6C59">
        <w:rPr>
          <w:rFonts w:ascii="Arial" w:hAnsi="Arial" w:cs="Arial"/>
          <w:sz w:val="24"/>
          <w:szCs w:val="24"/>
        </w:rPr>
        <w:t>interest rate</w:t>
      </w:r>
      <w:r w:rsidR="00E355C1" w:rsidRPr="00A60E31">
        <w:rPr>
          <w:rFonts w:ascii="Arial" w:hAnsi="Arial" w:cs="Arial"/>
          <w:sz w:val="24"/>
          <w:szCs w:val="24"/>
        </w:rPr>
        <w:t xml:space="preserve"> risk and economic volatility. Managing market risk needs to be a part of ERP.</w:t>
      </w:r>
    </w:p>
    <w:p w14:paraId="621551D0" w14:textId="29CA82F4" w:rsidR="0091385E" w:rsidRPr="00A60E31" w:rsidRDefault="0091385E" w:rsidP="00E355C1">
      <w:pPr>
        <w:jc w:val="both"/>
        <w:rPr>
          <w:rFonts w:ascii="Arial" w:hAnsi="Arial" w:cs="Arial"/>
          <w:sz w:val="24"/>
          <w:szCs w:val="24"/>
        </w:rPr>
      </w:pPr>
      <w:r>
        <w:rPr>
          <w:rFonts w:ascii="Arial" w:hAnsi="Arial" w:cs="Arial"/>
          <w:sz w:val="24"/>
          <w:szCs w:val="24"/>
        </w:rPr>
        <w:t>iv. Mitigating Forex risk by utilising hedging methods etc.</w:t>
      </w:r>
    </w:p>
    <w:p w14:paraId="4385F11A" w14:textId="487219A7" w:rsidR="00286394" w:rsidRDefault="00286394" w:rsidP="00E355C1">
      <w:pPr>
        <w:jc w:val="both"/>
        <w:rPr>
          <w:rFonts w:ascii="Arial" w:hAnsi="Arial" w:cs="Arial"/>
          <w:sz w:val="24"/>
          <w:szCs w:val="24"/>
        </w:rPr>
      </w:pPr>
      <w:r w:rsidRPr="00A60E31">
        <w:rPr>
          <w:rFonts w:ascii="Arial" w:hAnsi="Arial" w:cs="Arial"/>
          <w:sz w:val="24"/>
          <w:szCs w:val="24"/>
        </w:rPr>
        <w:t xml:space="preserve">v. </w:t>
      </w:r>
      <w:r w:rsidR="00105EEC" w:rsidRPr="00A60E31">
        <w:rPr>
          <w:rFonts w:ascii="Arial" w:hAnsi="Arial" w:cs="Arial"/>
          <w:sz w:val="24"/>
          <w:szCs w:val="24"/>
        </w:rPr>
        <w:t>Developing and adhering to</w:t>
      </w:r>
      <w:r w:rsidRPr="00A60E31">
        <w:rPr>
          <w:rFonts w:ascii="Arial" w:hAnsi="Arial" w:cs="Arial"/>
          <w:sz w:val="24"/>
          <w:szCs w:val="24"/>
        </w:rPr>
        <w:t xml:space="preserve"> robust </w:t>
      </w:r>
      <w:r w:rsidR="00CA686D" w:rsidRPr="00A60E31">
        <w:rPr>
          <w:rFonts w:ascii="Arial" w:hAnsi="Arial" w:cs="Arial"/>
          <w:sz w:val="24"/>
          <w:szCs w:val="24"/>
        </w:rPr>
        <w:t>internal systems and procedures for mitigating operational risk</w:t>
      </w:r>
      <w:r w:rsidR="00105EEC" w:rsidRPr="00A60E31">
        <w:rPr>
          <w:rFonts w:ascii="Arial" w:hAnsi="Arial" w:cs="Arial"/>
          <w:sz w:val="24"/>
          <w:szCs w:val="24"/>
        </w:rPr>
        <w:t>s</w:t>
      </w:r>
      <w:r w:rsidR="00CA686D" w:rsidRPr="00A60E31">
        <w:rPr>
          <w:rFonts w:ascii="Arial" w:hAnsi="Arial" w:cs="Arial"/>
          <w:sz w:val="24"/>
          <w:szCs w:val="24"/>
        </w:rPr>
        <w:t>.</w:t>
      </w:r>
    </w:p>
    <w:p w14:paraId="5C4EFAE7" w14:textId="694DF64C" w:rsidR="0063503A" w:rsidRPr="00A60E31" w:rsidRDefault="0063503A" w:rsidP="00E355C1">
      <w:pPr>
        <w:jc w:val="both"/>
        <w:rPr>
          <w:rFonts w:ascii="Arial" w:hAnsi="Arial" w:cs="Arial"/>
          <w:sz w:val="24"/>
          <w:szCs w:val="24"/>
        </w:rPr>
      </w:pPr>
      <w:r>
        <w:rPr>
          <w:rFonts w:ascii="Arial" w:hAnsi="Arial" w:cs="Arial"/>
          <w:sz w:val="24"/>
          <w:szCs w:val="24"/>
        </w:rPr>
        <w:t>Proactive risk management is the key to stay adequately shielded from risks anticipated in the future.</w:t>
      </w:r>
    </w:p>
    <w:p w14:paraId="4AF3CCC3" w14:textId="6529FCEE" w:rsidR="00E355C1" w:rsidRDefault="00E355C1" w:rsidP="00E355C1">
      <w:pPr>
        <w:jc w:val="both"/>
        <w:rPr>
          <w:rFonts w:ascii="Arial" w:hAnsi="Arial" w:cs="Arial"/>
          <w:b/>
        </w:rPr>
      </w:pPr>
      <w:r w:rsidRPr="00A60E31">
        <w:rPr>
          <w:rFonts w:ascii="Arial" w:hAnsi="Arial" w:cs="Arial"/>
          <w:b/>
        </w:rPr>
        <w:t>C. Management of Yield</w:t>
      </w:r>
    </w:p>
    <w:p w14:paraId="16D92F66" w14:textId="485E02AC" w:rsidR="006A7095" w:rsidRPr="00A60E31" w:rsidRDefault="006A7095" w:rsidP="00E355C1">
      <w:pPr>
        <w:jc w:val="both"/>
        <w:rPr>
          <w:rFonts w:ascii="Arial" w:hAnsi="Arial" w:cs="Arial"/>
          <w:b/>
        </w:rPr>
      </w:pPr>
      <w:r>
        <w:rPr>
          <w:rFonts w:ascii="Arial" w:hAnsi="Arial" w:cs="Arial"/>
          <w:b/>
        </w:rPr>
        <w:t>Treasury professionals should develop a successful yield strategy to optimise return on investments.</w:t>
      </w:r>
    </w:p>
    <w:p w14:paraId="06032C83" w14:textId="45073B04" w:rsidR="00E355C1" w:rsidRDefault="00E355C1" w:rsidP="00E355C1">
      <w:pPr>
        <w:jc w:val="both"/>
        <w:rPr>
          <w:rFonts w:ascii="Arial" w:hAnsi="Arial" w:cs="Arial"/>
          <w:sz w:val="24"/>
          <w:szCs w:val="24"/>
        </w:rPr>
      </w:pPr>
      <w:r w:rsidRPr="00A60E31">
        <w:rPr>
          <w:rFonts w:ascii="Arial" w:hAnsi="Arial" w:cs="Arial"/>
          <w:sz w:val="24"/>
          <w:szCs w:val="24"/>
        </w:rPr>
        <w:t>An important aspect of Treasury Management is to manage the yield through judicious deployment of funds and continuous reviewing &amp; rebalancing the portfolio, to ensure optimum return</w:t>
      </w:r>
      <w:r w:rsidR="00614E97">
        <w:rPr>
          <w:rFonts w:ascii="Arial" w:hAnsi="Arial" w:cs="Arial"/>
          <w:sz w:val="24"/>
          <w:szCs w:val="24"/>
        </w:rPr>
        <w:t>s</w:t>
      </w:r>
      <w:r w:rsidRPr="00A60E31">
        <w:rPr>
          <w:rFonts w:ascii="Arial" w:hAnsi="Arial" w:cs="Arial"/>
          <w:sz w:val="24"/>
          <w:szCs w:val="24"/>
        </w:rPr>
        <w:t xml:space="preserve"> from the funds deployed.</w:t>
      </w:r>
    </w:p>
    <w:p w14:paraId="11E15DEB" w14:textId="0243D7B3" w:rsidR="005A3BA4" w:rsidRDefault="006D197B" w:rsidP="00E355C1">
      <w:pPr>
        <w:jc w:val="both"/>
        <w:rPr>
          <w:rFonts w:ascii="Arial" w:hAnsi="Arial" w:cs="Arial"/>
          <w:sz w:val="24"/>
          <w:szCs w:val="24"/>
        </w:rPr>
      </w:pPr>
      <w:r>
        <w:rPr>
          <w:rFonts w:ascii="Arial" w:hAnsi="Arial" w:cs="Arial"/>
          <w:sz w:val="24"/>
          <w:szCs w:val="24"/>
        </w:rPr>
        <w:t>As</w:t>
      </w:r>
      <w:r w:rsidR="005A3BA4">
        <w:rPr>
          <w:rFonts w:ascii="Arial" w:hAnsi="Arial" w:cs="Arial"/>
          <w:sz w:val="24"/>
          <w:szCs w:val="24"/>
        </w:rPr>
        <w:t xml:space="preserve"> </w:t>
      </w:r>
      <w:r>
        <w:rPr>
          <w:rFonts w:ascii="Arial" w:hAnsi="Arial" w:cs="Arial"/>
          <w:sz w:val="24"/>
          <w:szCs w:val="24"/>
        </w:rPr>
        <w:t>yield management is based on</w:t>
      </w:r>
      <w:r w:rsidR="005A3BA4">
        <w:rPr>
          <w:rFonts w:ascii="Arial" w:hAnsi="Arial" w:cs="Arial"/>
          <w:sz w:val="24"/>
          <w:szCs w:val="24"/>
        </w:rPr>
        <w:t xml:space="preserve"> supply and demand </w:t>
      </w:r>
      <w:r>
        <w:rPr>
          <w:rFonts w:ascii="Arial" w:hAnsi="Arial" w:cs="Arial"/>
          <w:sz w:val="24"/>
          <w:szCs w:val="24"/>
        </w:rPr>
        <w:t>of treasury products</w:t>
      </w:r>
      <w:r w:rsidR="005A3BA4">
        <w:rPr>
          <w:rFonts w:ascii="Arial" w:hAnsi="Arial" w:cs="Arial"/>
          <w:sz w:val="24"/>
          <w:szCs w:val="24"/>
        </w:rPr>
        <w:t>, the treasury professionals should be fully conversant about the demand and supply of available financial instruments.</w:t>
      </w:r>
    </w:p>
    <w:p w14:paraId="59ADF716" w14:textId="3ADD3C0F" w:rsidR="005A3BA4" w:rsidRPr="00A60E31" w:rsidRDefault="00BD74FE" w:rsidP="00E355C1">
      <w:pPr>
        <w:jc w:val="both"/>
        <w:rPr>
          <w:rFonts w:ascii="Arial" w:hAnsi="Arial" w:cs="Arial"/>
          <w:sz w:val="24"/>
          <w:szCs w:val="24"/>
        </w:rPr>
      </w:pPr>
      <w:r>
        <w:rPr>
          <w:rFonts w:ascii="Arial" w:hAnsi="Arial" w:cs="Arial"/>
          <w:sz w:val="24"/>
          <w:szCs w:val="24"/>
        </w:rPr>
        <w:t>Asset allocation and timing are the key drivers of market returns which treasury professionals should understand clearly.</w:t>
      </w:r>
    </w:p>
    <w:p w14:paraId="42CF3EA2" w14:textId="252C5DC0" w:rsidR="00E355C1" w:rsidRDefault="00E355C1" w:rsidP="00E355C1">
      <w:pPr>
        <w:jc w:val="both"/>
        <w:rPr>
          <w:rFonts w:ascii="Arial" w:hAnsi="Arial" w:cs="Arial"/>
          <w:b/>
        </w:rPr>
      </w:pPr>
      <w:r w:rsidRPr="00A60E31">
        <w:rPr>
          <w:rFonts w:ascii="Arial" w:hAnsi="Arial" w:cs="Arial"/>
          <w:b/>
        </w:rPr>
        <w:t>D. Treasury Products and Services</w:t>
      </w:r>
    </w:p>
    <w:p w14:paraId="32155DCD" w14:textId="28F43DD7" w:rsidR="0056248C" w:rsidRPr="00A60E31" w:rsidRDefault="0056248C" w:rsidP="00E355C1">
      <w:pPr>
        <w:jc w:val="both"/>
        <w:rPr>
          <w:rFonts w:ascii="Arial" w:hAnsi="Arial" w:cs="Arial"/>
          <w:b/>
        </w:rPr>
      </w:pPr>
      <w:r>
        <w:rPr>
          <w:rFonts w:ascii="Arial" w:hAnsi="Arial" w:cs="Arial"/>
          <w:b/>
        </w:rPr>
        <w:t>Treasury products and services are tailor-made for customers to provide solutions for trading</w:t>
      </w:r>
      <w:r w:rsidR="00034C98">
        <w:rPr>
          <w:rFonts w:ascii="Arial" w:hAnsi="Arial" w:cs="Arial"/>
          <w:b/>
        </w:rPr>
        <w:t xml:space="preserve"> in domestic and international bond, equity, forex, </w:t>
      </w:r>
      <w:proofErr w:type="gramStart"/>
      <w:r w:rsidR="00034C98">
        <w:rPr>
          <w:rFonts w:ascii="Arial" w:hAnsi="Arial" w:cs="Arial"/>
          <w:b/>
        </w:rPr>
        <w:t>commodity</w:t>
      </w:r>
      <w:proofErr w:type="gramEnd"/>
      <w:r w:rsidR="00034C98">
        <w:rPr>
          <w:rFonts w:ascii="Arial" w:hAnsi="Arial" w:cs="Arial"/>
          <w:b/>
        </w:rPr>
        <w:t xml:space="preserve"> and retail markets</w:t>
      </w:r>
      <w:r>
        <w:rPr>
          <w:rFonts w:ascii="Arial" w:hAnsi="Arial" w:cs="Arial"/>
          <w:b/>
        </w:rPr>
        <w:t>.</w:t>
      </w:r>
    </w:p>
    <w:p w14:paraId="76CD531F" w14:textId="06C9CE78" w:rsidR="00D6413E" w:rsidRDefault="00553F7C" w:rsidP="00042A08">
      <w:pPr>
        <w:spacing w:after="0" w:line="240" w:lineRule="auto"/>
        <w:jc w:val="both"/>
        <w:rPr>
          <w:rFonts w:ascii="Arial" w:hAnsi="Arial" w:cs="Arial"/>
          <w:sz w:val="24"/>
          <w:szCs w:val="24"/>
        </w:rPr>
      </w:pPr>
      <w:r w:rsidRPr="00A60E31">
        <w:rPr>
          <w:rFonts w:ascii="Arial" w:hAnsi="Arial" w:cs="Arial"/>
          <w:sz w:val="24"/>
          <w:szCs w:val="24"/>
        </w:rPr>
        <w:t>Major Commercial Banks and Financial Institutions offer</w:t>
      </w:r>
      <w:r w:rsidR="00573873" w:rsidRPr="00A60E31">
        <w:rPr>
          <w:rFonts w:ascii="Arial" w:hAnsi="Arial" w:cs="Arial"/>
          <w:sz w:val="24"/>
          <w:szCs w:val="24"/>
        </w:rPr>
        <w:t xml:space="preserve"> a full spectrum of treasury solutions, ranging from simple foreign exchange (FX) transactions to sophisticated </w:t>
      </w:r>
    </w:p>
    <w:p w14:paraId="23A2AAAA" w14:textId="6768C67D" w:rsidR="00573873" w:rsidRDefault="00573873" w:rsidP="00042A08">
      <w:pPr>
        <w:spacing w:after="0" w:line="240" w:lineRule="auto"/>
        <w:jc w:val="both"/>
        <w:rPr>
          <w:rFonts w:ascii="Arial" w:hAnsi="Arial" w:cs="Arial"/>
          <w:sz w:val="24"/>
          <w:szCs w:val="24"/>
        </w:rPr>
      </w:pPr>
      <w:r w:rsidRPr="00A60E31">
        <w:rPr>
          <w:rFonts w:ascii="Arial" w:hAnsi="Arial" w:cs="Arial"/>
          <w:sz w:val="24"/>
          <w:szCs w:val="24"/>
        </w:rPr>
        <w:t xml:space="preserve">derivative and </w:t>
      </w:r>
      <w:r w:rsidR="00553F7C" w:rsidRPr="00A60E31">
        <w:rPr>
          <w:rFonts w:ascii="Arial" w:hAnsi="Arial" w:cs="Arial"/>
          <w:sz w:val="24"/>
          <w:szCs w:val="24"/>
        </w:rPr>
        <w:t>structured</w:t>
      </w:r>
      <w:r w:rsidRPr="00A60E31">
        <w:rPr>
          <w:rFonts w:ascii="Arial" w:hAnsi="Arial" w:cs="Arial"/>
          <w:sz w:val="24"/>
          <w:szCs w:val="24"/>
        </w:rPr>
        <w:t xml:space="preserve"> products. </w:t>
      </w:r>
      <w:r w:rsidR="00553F7C" w:rsidRPr="00A60E31">
        <w:rPr>
          <w:rFonts w:ascii="Arial" w:hAnsi="Arial" w:cs="Arial"/>
          <w:sz w:val="24"/>
          <w:szCs w:val="24"/>
        </w:rPr>
        <w:t>Treasury Managers also design</w:t>
      </w:r>
      <w:r w:rsidRPr="00A60E31">
        <w:rPr>
          <w:rFonts w:ascii="Arial" w:hAnsi="Arial" w:cs="Arial"/>
          <w:sz w:val="24"/>
          <w:szCs w:val="24"/>
        </w:rPr>
        <w:t xml:space="preserve"> structures linked to commodities, equities, </w:t>
      </w:r>
      <w:proofErr w:type="gramStart"/>
      <w:r w:rsidRPr="00A60E31">
        <w:rPr>
          <w:rFonts w:ascii="Arial" w:hAnsi="Arial" w:cs="Arial"/>
          <w:sz w:val="24"/>
          <w:szCs w:val="24"/>
        </w:rPr>
        <w:t>FX</w:t>
      </w:r>
      <w:proofErr w:type="gramEnd"/>
      <w:r w:rsidRPr="00A60E31">
        <w:rPr>
          <w:rFonts w:ascii="Arial" w:hAnsi="Arial" w:cs="Arial"/>
          <w:sz w:val="24"/>
          <w:szCs w:val="24"/>
        </w:rPr>
        <w:t xml:space="preserve"> or interest rates, managing and hedging against risk, and enhancing yields through sophisticated </w:t>
      </w:r>
      <w:r w:rsidR="00553F7C" w:rsidRPr="00A60E31">
        <w:rPr>
          <w:rFonts w:ascii="Arial" w:hAnsi="Arial" w:cs="Arial"/>
          <w:sz w:val="24"/>
          <w:szCs w:val="24"/>
        </w:rPr>
        <w:t xml:space="preserve">financial </w:t>
      </w:r>
      <w:r w:rsidRPr="00A60E31">
        <w:rPr>
          <w:rFonts w:ascii="Arial" w:hAnsi="Arial" w:cs="Arial"/>
          <w:sz w:val="24"/>
          <w:szCs w:val="24"/>
        </w:rPr>
        <w:t xml:space="preserve">techniques. Being an active market maker in </w:t>
      </w:r>
      <w:proofErr w:type="gramStart"/>
      <w:r w:rsidRPr="00A60E31">
        <w:rPr>
          <w:rFonts w:ascii="Arial" w:hAnsi="Arial" w:cs="Arial"/>
          <w:sz w:val="24"/>
          <w:szCs w:val="24"/>
        </w:rPr>
        <w:t>a number of</w:t>
      </w:r>
      <w:proofErr w:type="gramEnd"/>
      <w:r w:rsidRPr="00A60E31">
        <w:rPr>
          <w:rFonts w:ascii="Arial" w:hAnsi="Arial" w:cs="Arial"/>
          <w:sz w:val="24"/>
          <w:szCs w:val="24"/>
        </w:rPr>
        <w:t xml:space="preserve"> products, the d</w:t>
      </w:r>
      <w:r w:rsidR="00553F7C" w:rsidRPr="00A60E31">
        <w:rPr>
          <w:rFonts w:ascii="Arial" w:hAnsi="Arial" w:cs="Arial"/>
          <w:sz w:val="24"/>
          <w:szCs w:val="24"/>
        </w:rPr>
        <w:t>ifferent treasury desks</w:t>
      </w:r>
      <w:r w:rsidRPr="00A60E31">
        <w:rPr>
          <w:rFonts w:ascii="Arial" w:hAnsi="Arial" w:cs="Arial"/>
          <w:sz w:val="24"/>
          <w:szCs w:val="24"/>
        </w:rPr>
        <w:t xml:space="preserve"> work together to provide </w:t>
      </w:r>
      <w:r w:rsidR="00553F7C" w:rsidRPr="00A60E31">
        <w:rPr>
          <w:rFonts w:ascii="Arial" w:hAnsi="Arial" w:cs="Arial"/>
          <w:sz w:val="24"/>
          <w:szCs w:val="24"/>
        </w:rPr>
        <w:t>the</w:t>
      </w:r>
      <w:r w:rsidRPr="00A60E31">
        <w:rPr>
          <w:rFonts w:ascii="Arial" w:hAnsi="Arial" w:cs="Arial"/>
          <w:sz w:val="24"/>
          <w:szCs w:val="24"/>
        </w:rPr>
        <w:t xml:space="preserve"> clients with the best possible support and solutions in </w:t>
      </w:r>
      <w:r w:rsidR="00553F7C" w:rsidRPr="00A60E31">
        <w:rPr>
          <w:rFonts w:ascii="Arial" w:hAnsi="Arial" w:cs="Arial"/>
          <w:sz w:val="24"/>
          <w:szCs w:val="24"/>
        </w:rPr>
        <w:t>a gamut of</w:t>
      </w:r>
      <w:r w:rsidRPr="00A60E31">
        <w:rPr>
          <w:rFonts w:ascii="Arial" w:hAnsi="Arial" w:cs="Arial"/>
          <w:sz w:val="24"/>
          <w:szCs w:val="24"/>
        </w:rPr>
        <w:t xml:space="preserve"> products.</w:t>
      </w:r>
    </w:p>
    <w:p w14:paraId="39939502" w14:textId="6373BA94" w:rsidR="0056248C" w:rsidRDefault="0056248C" w:rsidP="00042A08">
      <w:pPr>
        <w:spacing w:after="0" w:line="240" w:lineRule="auto"/>
        <w:jc w:val="both"/>
        <w:rPr>
          <w:rFonts w:ascii="Arial" w:hAnsi="Arial" w:cs="Arial"/>
          <w:sz w:val="24"/>
          <w:szCs w:val="24"/>
        </w:rPr>
      </w:pPr>
    </w:p>
    <w:p w14:paraId="69C9A717" w14:textId="1ACD22E1" w:rsidR="0056248C" w:rsidRDefault="0056248C" w:rsidP="00042A08">
      <w:pPr>
        <w:spacing w:after="0" w:line="240" w:lineRule="auto"/>
        <w:jc w:val="both"/>
        <w:rPr>
          <w:rFonts w:ascii="Arial" w:hAnsi="Arial" w:cs="Arial"/>
          <w:sz w:val="24"/>
          <w:szCs w:val="24"/>
        </w:rPr>
      </w:pPr>
      <w:r>
        <w:rPr>
          <w:rFonts w:ascii="Arial" w:hAnsi="Arial" w:cs="Arial"/>
          <w:sz w:val="24"/>
          <w:szCs w:val="24"/>
        </w:rPr>
        <w:t xml:space="preserve">Bank’s treasury acts as an active market-maker in </w:t>
      </w:r>
      <w:proofErr w:type="gramStart"/>
      <w:r>
        <w:rPr>
          <w:rFonts w:ascii="Arial" w:hAnsi="Arial" w:cs="Arial"/>
          <w:sz w:val="24"/>
          <w:szCs w:val="24"/>
        </w:rPr>
        <w:t>a number of</w:t>
      </w:r>
      <w:proofErr w:type="gramEnd"/>
      <w:r>
        <w:rPr>
          <w:rFonts w:ascii="Arial" w:hAnsi="Arial" w:cs="Arial"/>
          <w:sz w:val="24"/>
          <w:szCs w:val="24"/>
        </w:rPr>
        <w:t xml:space="preserve"> products and treasury professionals shoul</w:t>
      </w:r>
      <w:r w:rsidR="008042F9">
        <w:rPr>
          <w:rFonts w:ascii="Arial" w:hAnsi="Arial" w:cs="Arial"/>
          <w:sz w:val="24"/>
          <w:szCs w:val="24"/>
        </w:rPr>
        <w:t>d be fully geared to provide</w:t>
      </w:r>
      <w:r>
        <w:rPr>
          <w:rFonts w:ascii="Arial" w:hAnsi="Arial" w:cs="Arial"/>
          <w:sz w:val="24"/>
          <w:szCs w:val="24"/>
        </w:rPr>
        <w:t xml:space="preserve"> clients the best possible solution.</w:t>
      </w:r>
    </w:p>
    <w:p w14:paraId="2511D560" w14:textId="5213B8C6" w:rsidR="00E36389" w:rsidRDefault="00E36389" w:rsidP="00042A08">
      <w:pPr>
        <w:spacing w:after="0" w:line="240" w:lineRule="auto"/>
        <w:jc w:val="both"/>
        <w:rPr>
          <w:rFonts w:ascii="Arial" w:hAnsi="Arial" w:cs="Arial"/>
          <w:sz w:val="24"/>
          <w:szCs w:val="24"/>
        </w:rPr>
      </w:pPr>
    </w:p>
    <w:p w14:paraId="59A45AFF" w14:textId="703419DB" w:rsidR="00E36389" w:rsidRPr="00A60E31" w:rsidRDefault="00E36389" w:rsidP="00042A08">
      <w:pPr>
        <w:spacing w:after="0" w:line="240" w:lineRule="auto"/>
        <w:jc w:val="both"/>
        <w:rPr>
          <w:rFonts w:ascii="Arial" w:hAnsi="Arial" w:cs="Arial"/>
          <w:sz w:val="24"/>
          <w:szCs w:val="24"/>
        </w:rPr>
      </w:pPr>
      <w:r>
        <w:rPr>
          <w:rFonts w:ascii="Arial" w:hAnsi="Arial" w:cs="Arial"/>
          <w:sz w:val="24"/>
          <w:szCs w:val="24"/>
        </w:rPr>
        <w:t>In line with the guidelines issued on sustainability or sustainable finance by the regulatory authorities, treasury products (</w:t>
      </w:r>
      <w:proofErr w:type="gramStart"/>
      <w:r>
        <w:rPr>
          <w:rFonts w:ascii="Arial" w:hAnsi="Arial" w:cs="Arial"/>
          <w:sz w:val="24"/>
          <w:szCs w:val="24"/>
        </w:rPr>
        <w:t>e.g.</w:t>
      </w:r>
      <w:proofErr w:type="gramEnd"/>
      <w:r>
        <w:rPr>
          <w:rFonts w:ascii="Arial" w:hAnsi="Arial" w:cs="Arial"/>
          <w:sz w:val="24"/>
          <w:szCs w:val="24"/>
        </w:rPr>
        <w:t xml:space="preserve"> green debt securities) </w:t>
      </w:r>
      <w:r w:rsidR="008162F4">
        <w:rPr>
          <w:rFonts w:ascii="Arial" w:hAnsi="Arial" w:cs="Arial"/>
          <w:sz w:val="24"/>
          <w:szCs w:val="24"/>
        </w:rPr>
        <w:t>are developed to ensure that</w:t>
      </w:r>
      <w:r>
        <w:rPr>
          <w:rFonts w:ascii="Arial" w:hAnsi="Arial" w:cs="Arial"/>
          <w:sz w:val="24"/>
          <w:szCs w:val="24"/>
        </w:rPr>
        <w:t xml:space="preserve"> ‘green’ projects are adequately monetised.</w:t>
      </w:r>
    </w:p>
    <w:p w14:paraId="3279FF1F" w14:textId="77777777" w:rsidR="00573873" w:rsidRPr="00A60E31" w:rsidRDefault="00573873" w:rsidP="00042A08">
      <w:pPr>
        <w:spacing w:after="0" w:line="240" w:lineRule="auto"/>
        <w:jc w:val="both"/>
        <w:rPr>
          <w:rFonts w:ascii="Arial" w:hAnsi="Arial" w:cs="Arial"/>
          <w:sz w:val="24"/>
          <w:szCs w:val="24"/>
        </w:rPr>
      </w:pPr>
    </w:p>
    <w:p w14:paraId="531AC590" w14:textId="440B9C8E" w:rsidR="00393AEA" w:rsidRDefault="00E355C1" w:rsidP="00042A08">
      <w:pPr>
        <w:spacing w:after="0" w:line="240" w:lineRule="auto"/>
        <w:jc w:val="both"/>
        <w:rPr>
          <w:rFonts w:ascii="Arial" w:hAnsi="Arial" w:cs="Arial"/>
          <w:b/>
        </w:rPr>
      </w:pPr>
      <w:r w:rsidRPr="00A60E31">
        <w:rPr>
          <w:rFonts w:ascii="Arial" w:hAnsi="Arial" w:cs="Arial"/>
          <w:b/>
        </w:rPr>
        <w:t xml:space="preserve">E. </w:t>
      </w:r>
      <w:r w:rsidR="00963679">
        <w:rPr>
          <w:rFonts w:ascii="Arial" w:hAnsi="Arial" w:cs="Arial"/>
          <w:b/>
        </w:rPr>
        <w:t>Asset Liability Management (ALM)</w:t>
      </w:r>
    </w:p>
    <w:p w14:paraId="45FBA190" w14:textId="77777777" w:rsidR="00963679" w:rsidRDefault="00963679" w:rsidP="00042A08">
      <w:pPr>
        <w:spacing w:after="0" w:line="240" w:lineRule="auto"/>
        <w:jc w:val="both"/>
        <w:rPr>
          <w:rFonts w:ascii="Arial" w:hAnsi="Arial" w:cs="Arial"/>
          <w:sz w:val="24"/>
          <w:szCs w:val="24"/>
        </w:rPr>
      </w:pPr>
    </w:p>
    <w:p w14:paraId="51D81145" w14:textId="77777777" w:rsidR="00516BDD" w:rsidRDefault="00516BDD" w:rsidP="00042A08">
      <w:pPr>
        <w:spacing w:after="0" w:line="240" w:lineRule="auto"/>
        <w:jc w:val="both"/>
        <w:rPr>
          <w:rFonts w:ascii="Arial" w:hAnsi="Arial" w:cs="Arial"/>
          <w:b/>
          <w:szCs w:val="24"/>
        </w:rPr>
      </w:pPr>
    </w:p>
    <w:p w14:paraId="6098559D" w14:textId="4BB5E306" w:rsidR="00516BDD" w:rsidRDefault="00516BDD" w:rsidP="00516BDD">
      <w:pPr>
        <w:spacing w:after="0" w:line="240" w:lineRule="auto"/>
        <w:jc w:val="right"/>
        <w:rPr>
          <w:rFonts w:ascii="Arial" w:hAnsi="Arial" w:cs="Arial"/>
          <w:b/>
          <w:szCs w:val="24"/>
        </w:rPr>
      </w:pPr>
      <w:r w:rsidRPr="00F238E1">
        <w:rPr>
          <w:rFonts w:cstheme="minorHAnsi"/>
          <w:noProof/>
          <w:sz w:val="24"/>
          <w:szCs w:val="24"/>
          <w:lang w:eastAsia="en-IN"/>
        </w:rPr>
        <w:lastRenderedPageBreak/>
        <w:drawing>
          <wp:inline distT="0" distB="0" distL="0" distR="0" wp14:anchorId="1BD32B2F" wp14:editId="0F2C60ED">
            <wp:extent cx="1714500" cy="607930"/>
            <wp:effectExtent l="0" t="0" r="0" b="1905"/>
            <wp:docPr id="8" name="Picture 8"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6FBF6412" w14:textId="77777777" w:rsidR="009E0E1C" w:rsidRDefault="009E0E1C" w:rsidP="00042A08">
      <w:pPr>
        <w:spacing w:after="0" w:line="240" w:lineRule="auto"/>
        <w:jc w:val="both"/>
        <w:rPr>
          <w:rFonts w:ascii="Arial" w:hAnsi="Arial" w:cs="Arial"/>
          <w:b/>
          <w:szCs w:val="24"/>
        </w:rPr>
      </w:pPr>
    </w:p>
    <w:p w14:paraId="24157862" w14:textId="2CF936FD" w:rsidR="00F81AB8" w:rsidRPr="00606F03" w:rsidRDefault="00963679" w:rsidP="00042A08">
      <w:pPr>
        <w:spacing w:after="0" w:line="240" w:lineRule="auto"/>
        <w:jc w:val="both"/>
        <w:rPr>
          <w:rFonts w:ascii="Arial" w:hAnsi="Arial" w:cs="Arial"/>
          <w:szCs w:val="24"/>
        </w:rPr>
      </w:pPr>
      <w:r w:rsidRPr="00606F03">
        <w:rPr>
          <w:rFonts w:ascii="Arial" w:hAnsi="Arial" w:cs="Arial"/>
          <w:b/>
          <w:szCs w:val="24"/>
        </w:rPr>
        <w:t>Asset Liability Management (ALM) calls for determining the optimal size and growth rate of the balance sheet through optimum management of mismatches between the corresponding assets and liabilities, as also pricing the assets and liabilities in accordance with prescribed guidelines.</w:t>
      </w:r>
      <w:r w:rsidR="00636992" w:rsidRPr="00606F03">
        <w:rPr>
          <w:rFonts w:ascii="Arial" w:hAnsi="Arial" w:cs="Arial"/>
          <w:szCs w:val="24"/>
        </w:rPr>
        <w:t xml:space="preserve"> </w:t>
      </w:r>
    </w:p>
    <w:p w14:paraId="0E73B704" w14:textId="2A62A1B1" w:rsidR="00A0197A" w:rsidRDefault="00A0197A" w:rsidP="00042A08">
      <w:pPr>
        <w:spacing w:after="0" w:line="240" w:lineRule="auto"/>
        <w:jc w:val="both"/>
        <w:rPr>
          <w:rFonts w:ascii="Arial" w:hAnsi="Arial" w:cs="Arial"/>
          <w:sz w:val="24"/>
          <w:szCs w:val="24"/>
        </w:rPr>
      </w:pPr>
    </w:p>
    <w:p w14:paraId="0C81DD17" w14:textId="429CA506" w:rsidR="00963679" w:rsidRDefault="00636992" w:rsidP="00042A08">
      <w:pPr>
        <w:spacing w:after="0" w:line="240" w:lineRule="auto"/>
        <w:jc w:val="both"/>
        <w:rPr>
          <w:rFonts w:ascii="Arial" w:hAnsi="Arial" w:cs="Arial"/>
          <w:sz w:val="24"/>
          <w:szCs w:val="24"/>
        </w:rPr>
      </w:pPr>
      <w:r>
        <w:rPr>
          <w:rFonts w:ascii="Arial" w:hAnsi="Arial" w:cs="Arial"/>
          <w:sz w:val="24"/>
          <w:szCs w:val="24"/>
        </w:rPr>
        <w:t>The following aspects are to be discussed in detail:</w:t>
      </w:r>
    </w:p>
    <w:p w14:paraId="244A6A86" w14:textId="430DDFC9" w:rsidR="00636992" w:rsidRPr="00636992" w:rsidRDefault="00636992" w:rsidP="00875655">
      <w:pPr>
        <w:pStyle w:val="ListParagraph"/>
        <w:numPr>
          <w:ilvl w:val="0"/>
          <w:numId w:val="8"/>
        </w:numPr>
        <w:spacing w:after="0" w:line="233" w:lineRule="atLeast"/>
        <w:ind w:left="851" w:hanging="425"/>
        <w:rPr>
          <w:rFonts w:ascii="Arial" w:hAnsi="Arial" w:cs="Arial"/>
          <w:sz w:val="24"/>
          <w:szCs w:val="24"/>
        </w:rPr>
      </w:pPr>
      <w:r w:rsidRPr="00636992">
        <w:rPr>
          <w:rFonts w:ascii="Arial" w:hAnsi="Arial" w:cs="Arial"/>
          <w:sz w:val="24"/>
          <w:szCs w:val="24"/>
        </w:rPr>
        <w:t>Asset and Liability Management Committee</w:t>
      </w:r>
      <w:r>
        <w:rPr>
          <w:rFonts w:ascii="Arial" w:hAnsi="Arial" w:cs="Arial"/>
          <w:sz w:val="24"/>
          <w:szCs w:val="24"/>
        </w:rPr>
        <w:t>-ALCO</w:t>
      </w:r>
      <w:r w:rsidRPr="00636992">
        <w:rPr>
          <w:rFonts w:ascii="Arial" w:hAnsi="Arial" w:cs="Arial"/>
          <w:sz w:val="24"/>
          <w:szCs w:val="24"/>
        </w:rPr>
        <w:t xml:space="preserve"> (roles, functions, insights, framework, etc.)</w:t>
      </w:r>
    </w:p>
    <w:p w14:paraId="55E559E4" w14:textId="77777777" w:rsidR="00636992" w:rsidRPr="00636992" w:rsidRDefault="00636992" w:rsidP="00875655">
      <w:pPr>
        <w:pStyle w:val="ListParagraph"/>
        <w:numPr>
          <w:ilvl w:val="0"/>
          <w:numId w:val="8"/>
        </w:numPr>
        <w:spacing w:after="0" w:line="233" w:lineRule="atLeast"/>
        <w:ind w:left="851" w:hanging="425"/>
        <w:rPr>
          <w:rFonts w:ascii="Arial" w:hAnsi="Arial" w:cs="Arial"/>
          <w:sz w:val="24"/>
          <w:szCs w:val="24"/>
        </w:rPr>
      </w:pPr>
      <w:r w:rsidRPr="00636992">
        <w:rPr>
          <w:rFonts w:ascii="Arial" w:hAnsi="Arial" w:cs="Arial"/>
          <w:sz w:val="24"/>
          <w:szCs w:val="24"/>
        </w:rPr>
        <w:t>Asset and Liability Management Strategy</w:t>
      </w:r>
    </w:p>
    <w:p w14:paraId="6EB16542" w14:textId="30FF321D" w:rsidR="00B53197" w:rsidRPr="00A0197A" w:rsidRDefault="00636992" w:rsidP="00A0197A">
      <w:pPr>
        <w:pStyle w:val="ListParagraph"/>
        <w:numPr>
          <w:ilvl w:val="0"/>
          <w:numId w:val="8"/>
        </w:numPr>
        <w:spacing w:after="0" w:line="233" w:lineRule="atLeast"/>
        <w:ind w:left="851" w:hanging="425"/>
        <w:rPr>
          <w:rFonts w:ascii="Arial" w:hAnsi="Arial" w:cs="Arial"/>
          <w:sz w:val="24"/>
          <w:szCs w:val="24"/>
        </w:rPr>
      </w:pPr>
      <w:r w:rsidRPr="00636992">
        <w:rPr>
          <w:rFonts w:ascii="Arial" w:hAnsi="Arial" w:cs="Arial"/>
          <w:sz w:val="24"/>
          <w:szCs w:val="24"/>
        </w:rPr>
        <w:t>Asset and Liability Management Mode</w:t>
      </w:r>
      <w:r w:rsidR="00A66852">
        <w:rPr>
          <w:rFonts w:ascii="Arial" w:hAnsi="Arial" w:cs="Arial"/>
          <w:sz w:val="24"/>
          <w:szCs w:val="24"/>
        </w:rPr>
        <w:t>l</w:t>
      </w:r>
      <w:r w:rsidRPr="00636992">
        <w:rPr>
          <w:rFonts w:ascii="Arial" w:hAnsi="Arial" w:cs="Arial"/>
          <w:sz w:val="24"/>
          <w:szCs w:val="24"/>
        </w:rPr>
        <w:t>ling</w:t>
      </w:r>
    </w:p>
    <w:p w14:paraId="4B0E33A6" w14:textId="3B30B260" w:rsidR="00636992" w:rsidRPr="00FA6A45" w:rsidRDefault="00636992" w:rsidP="00FA6A45">
      <w:pPr>
        <w:pStyle w:val="ListParagraph"/>
        <w:numPr>
          <w:ilvl w:val="0"/>
          <w:numId w:val="8"/>
        </w:numPr>
        <w:spacing w:after="0" w:line="233" w:lineRule="atLeast"/>
        <w:ind w:left="851" w:hanging="425"/>
        <w:rPr>
          <w:rFonts w:ascii="Arial" w:hAnsi="Arial" w:cs="Arial"/>
          <w:sz w:val="24"/>
          <w:szCs w:val="24"/>
        </w:rPr>
      </w:pPr>
      <w:r w:rsidRPr="00636992">
        <w:rPr>
          <w:rFonts w:ascii="Arial" w:hAnsi="Arial" w:cs="Arial"/>
          <w:sz w:val="24"/>
          <w:szCs w:val="24"/>
        </w:rPr>
        <w:t>Asset and Liability Management Reporting</w:t>
      </w:r>
    </w:p>
    <w:p w14:paraId="5F15AF5C" w14:textId="77777777" w:rsidR="00963679" w:rsidRPr="00963679" w:rsidRDefault="00963679" w:rsidP="00042A08">
      <w:pPr>
        <w:spacing w:after="0" w:line="240" w:lineRule="auto"/>
        <w:jc w:val="both"/>
        <w:rPr>
          <w:rFonts w:ascii="Arial" w:hAnsi="Arial" w:cs="Arial"/>
          <w:sz w:val="24"/>
          <w:szCs w:val="24"/>
        </w:rPr>
      </w:pPr>
    </w:p>
    <w:p w14:paraId="0D3D070E" w14:textId="7798CA0D" w:rsidR="00E355C1" w:rsidRDefault="00393AEA" w:rsidP="00042A08">
      <w:pPr>
        <w:spacing w:after="0" w:line="240" w:lineRule="auto"/>
        <w:jc w:val="both"/>
        <w:rPr>
          <w:rFonts w:ascii="Arial" w:hAnsi="Arial" w:cs="Arial"/>
          <w:b/>
        </w:rPr>
      </w:pPr>
      <w:r>
        <w:rPr>
          <w:rFonts w:ascii="Arial" w:hAnsi="Arial" w:cs="Arial"/>
          <w:b/>
        </w:rPr>
        <w:t xml:space="preserve">F. </w:t>
      </w:r>
      <w:r w:rsidR="00E355C1" w:rsidRPr="00A60E31">
        <w:rPr>
          <w:rFonts w:ascii="Arial" w:hAnsi="Arial" w:cs="Arial"/>
          <w:b/>
        </w:rPr>
        <w:t>Operational and Control aspects</w:t>
      </w:r>
    </w:p>
    <w:p w14:paraId="3B8C40EB" w14:textId="63D5363E" w:rsidR="004521C0" w:rsidRDefault="004521C0" w:rsidP="00042A08">
      <w:pPr>
        <w:spacing w:after="0" w:line="240" w:lineRule="auto"/>
        <w:jc w:val="both"/>
        <w:rPr>
          <w:rFonts w:ascii="Arial" w:hAnsi="Arial" w:cs="Arial"/>
          <w:b/>
        </w:rPr>
      </w:pPr>
    </w:p>
    <w:p w14:paraId="058EE475" w14:textId="198C6B10" w:rsidR="004521C0" w:rsidRDefault="004521C0" w:rsidP="00042A08">
      <w:pPr>
        <w:spacing w:after="0" w:line="240" w:lineRule="auto"/>
        <w:jc w:val="both"/>
        <w:rPr>
          <w:rFonts w:ascii="Arial" w:hAnsi="Arial" w:cs="Arial"/>
          <w:b/>
        </w:rPr>
      </w:pPr>
      <w:r>
        <w:rPr>
          <w:rFonts w:ascii="Arial" w:hAnsi="Arial" w:cs="Arial"/>
          <w:b/>
        </w:rPr>
        <w:t>Operational risks include various risks related to day-to-day activities including treasury processes, IT systems, people and compliance risks that impact the treasury operations.</w:t>
      </w:r>
    </w:p>
    <w:p w14:paraId="6D2BC949" w14:textId="77777777" w:rsidR="00A60E31" w:rsidRPr="00A60E31" w:rsidRDefault="00A60E31" w:rsidP="00042A08">
      <w:pPr>
        <w:spacing w:after="0" w:line="240" w:lineRule="auto"/>
        <w:jc w:val="both"/>
        <w:rPr>
          <w:rFonts w:ascii="Arial" w:hAnsi="Arial" w:cs="Arial"/>
          <w:b/>
        </w:rPr>
      </w:pPr>
    </w:p>
    <w:p w14:paraId="79445FCD" w14:textId="6AC512BC" w:rsidR="00E355C1" w:rsidRPr="00A60E31" w:rsidRDefault="00042A08" w:rsidP="00042A08">
      <w:pPr>
        <w:spacing w:after="0" w:line="240" w:lineRule="auto"/>
        <w:jc w:val="both"/>
        <w:rPr>
          <w:rFonts w:ascii="Arial" w:hAnsi="Arial" w:cs="Arial"/>
          <w:sz w:val="24"/>
          <w:szCs w:val="24"/>
        </w:rPr>
      </w:pPr>
      <w:r w:rsidRPr="00A60E31">
        <w:rPr>
          <w:rFonts w:ascii="Arial" w:hAnsi="Arial" w:cs="Arial"/>
          <w:sz w:val="24"/>
          <w:szCs w:val="24"/>
        </w:rPr>
        <w:t>Treasury operations, by its very nature, are exposed to systemic and deriv</w:t>
      </w:r>
      <w:r w:rsidR="00887BD5">
        <w:rPr>
          <w:rFonts w:ascii="Arial" w:hAnsi="Arial" w:cs="Arial"/>
          <w:sz w:val="24"/>
          <w:szCs w:val="24"/>
        </w:rPr>
        <w:t>ed risks, especially market</w:t>
      </w:r>
      <w:r w:rsidRPr="00A60E31">
        <w:rPr>
          <w:rFonts w:ascii="Arial" w:hAnsi="Arial" w:cs="Arial"/>
          <w:sz w:val="24"/>
          <w:szCs w:val="24"/>
        </w:rPr>
        <w:t xml:space="preserve"> and operational risk</w:t>
      </w:r>
      <w:r w:rsidR="00887BD5">
        <w:rPr>
          <w:rFonts w:ascii="Arial" w:hAnsi="Arial" w:cs="Arial"/>
          <w:sz w:val="24"/>
          <w:szCs w:val="24"/>
        </w:rPr>
        <w:t>s</w:t>
      </w:r>
      <w:r w:rsidRPr="00A60E31">
        <w:rPr>
          <w:rFonts w:ascii="Arial" w:hAnsi="Arial" w:cs="Arial"/>
          <w:sz w:val="24"/>
          <w:szCs w:val="24"/>
        </w:rPr>
        <w:t>. Therefore, a consistent and robust monitoring and reporting system is a fundamental requirement for successful and sustainable treasury operations. The operational Standard must put adequate emphasis on the control aspects.</w:t>
      </w:r>
      <w:r w:rsidR="008A2420">
        <w:rPr>
          <w:rFonts w:ascii="Arial" w:hAnsi="Arial" w:cs="Arial"/>
          <w:sz w:val="24"/>
          <w:szCs w:val="24"/>
        </w:rPr>
        <w:t xml:space="preserve"> Front office, mid office and </w:t>
      </w:r>
      <w:proofErr w:type="gramStart"/>
      <w:r w:rsidR="008A2420">
        <w:rPr>
          <w:rFonts w:ascii="Arial" w:hAnsi="Arial" w:cs="Arial"/>
          <w:sz w:val="24"/>
          <w:szCs w:val="24"/>
        </w:rPr>
        <w:t>back office</w:t>
      </w:r>
      <w:proofErr w:type="gramEnd"/>
      <w:r w:rsidR="008A2420">
        <w:rPr>
          <w:rFonts w:ascii="Arial" w:hAnsi="Arial" w:cs="Arial"/>
          <w:sz w:val="24"/>
          <w:szCs w:val="24"/>
        </w:rPr>
        <w:t xml:space="preserve"> functions of treasury should be integrated seamlessly to throw early warning signals.</w:t>
      </w:r>
    </w:p>
    <w:p w14:paraId="4CB11813" w14:textId="77777777" w:rsidR="00B14321" w:rsidRPr="00F238E1" w:rsidRDefault="00B14321" w:rsidP="00042A08">
      <w:pPr>
        <w:spacing w:after="0" w:line="240" w:lineRule="auto"/>
        <w:jc w:val="both"/>
        <w:rPr>
          <w:rFonts w:cstheme="minorHAnsi"/>
          <w:sz w:val="24"/>
          <w:szCs w:val="24"/>
        </w:rPr>
      </w:pPr>
    </w:p>
    <w:p w14:paraId="07D41CEA" w14:textId="0771F7A7" w:rsidR="00E355C1" w:rsidRDefault="00393AEA" w:rsidP="00E355C1">
      <w:pPr>
        <w:jc w:val="both"/>
        <w:rPr>
          <w:rFonts w:ascii="Arial" w:hAnsi="Arial" w:cs="Arial"/>
          <w:b/>
        </w:rPr>
      </w:pPr>
      <w:r>
        <w:rPr>
          <w:rFonts w:ascii="Arial" w:hAnsi="Arial" w:cs="Arial"/>
          <w:b/>
        </w:rPr>
        <w:t>G</w:t>
      </w:r>
      <w:r w:rsidR="00E355C1" w:rsidRPr="00A60E31">
        <w:rPr>
          <w:rFonts w:ascii="Arial" w:hAnsi="Arial" w:cs="Arial"/>
          <w:b/>
        </w:rPr>
        <w:t>. Regulatory guidelines and compliance</w:t>
      </w:r>
    </w:p>
    <w:p w14:paraId="3A368089" w14:textId="3FA690EB" w:rsidR="00CE3529" w:rsidRPr="00A60E31" w:rsidRDefault="00CE3529" w:rsidP="00E355C1">
      <w:pPr>
        <w:jc w:val="both"/>
        <w:rPr>
          <w:rFonts w:ascii="Arial" w:hAnsi="Arial" w:cs="Arial"/>
          <w:b/>
        </w:rPr>
      </w:pPr>
      <w:r>
        <w:rPr>
          <w:rFonts w:ascii="Arial" w:hAnsi="Arial" w:cs="Arial"/>
          <w:b/>
        </w:rPr>
        <w:t>The standard should ensure that all t</w:t>
      </w:r>
      <w:r w:rsidR="004605A0">
        <w:rPr>
          <w:rFonts w:ascii="Arial" w:hAnsi="Arial" w:cs="Arial"/>
          <w:b/>
        </w:rPr>
        <w:t>he activities of treasury</w:t>
      </w:r>
      <w:r>
        <w:rPr>
          <w:rFonts w:ascii="Arial" w:hAnsi="Arial" w:cs="Arial"/>
          <w:b/>
        </w:rPr>
        <w:t xml:space="preserve"> comply with the regulatory guidelines and the Bank’s internal policies.</w:t>
      </w:r>
    </w:p>
    <w:p w14:paraId="6F65E7B7" w14:textId="73BDC255" w:rsidR="00E355C1" w:rsidRDefault="00015D69" w:rsidP="00E355C1">
      <w:pPr>
        <w:jc w:val="both"/>
        <w:rPr>
          <w:rFonts w:ascii="Arial" w:hAnsi="Arial" w:cs="Arial"/>
          <w:sz w:val="24"/>
          <w:szCs w:val="24"/>
        </w:rPr>
      </w:pPr>
      <w:r w:rsidRPr="00A60E31">
        <w:rPr>
          <w:rFonts w:ascii="Arial" w:hAnsi="Arial" w:cs="Arial"/>
          <w:sz w:val="24"/>
          <w:szCs w:val="24"/>
        </w:rPr>
        <w:t>Regulatory standards, compliance norms and emergin</w:t>
      </w:r>
      <w:r w:rsidR="004605A0">
        <w:rPr>
          <w:rFonts w:ascii="Arial" w:hAnsi="Arial" w:cs="Arial"/>
          <w:sz w:val="24"/>
          <w:szCs w:val="24"/>
        </w:rPr>
        <w:t xml:space="preserve">g governance principles </w:t>
      </w:r>
      <w:r w:rsidR="009D1B6E">
        <w:rPr>
          <w:rFonts w:ascii="Arial" w:hAnsi="Arial" w:cs="Arial"/>
          <w:sz w:val="24"/>
          <w:szCs w:val="24"/>
        </w:rPr>
        <w:t xml:space="preserve">have </w:t>
      </w:r>
      <w:r w:rsidR="009D1B6E" w:rsidRPr="00A60E31">
        <w:rPr>
          <w:rFonts w:ascii="Arial" w:hAnsi="Arial" w:cs="Arial"/>
          <w:sz w:val="24"/>
          <w:szCs w:val="24"/>
        </w:rPr>
        <w:t>always</w:t>
      </w:r>
      <w:r w:rsidRPr="00A60E31">
        <w:rPr>
          <w:rFonts w:ascii="Arial" w:hAnsi="Arial" w:cs="Arial"/>
          <w:sz w:val="24"/>
          <w:szCs w:val="24"/>
        </w:rPr>
        <w:t xml:space="preserve"> necessitated both banks and corporate treasurers to review their treasury systems and reporting frameworks to stay compliant. </w:t>
      </w:r>
    </w:p>
    <w:p w14:paraId="408DA9B5" w14:textId="16EB84C9" w:rsidR="00312DB1" w:rsidRPr="00A60E31" w:rsidRDefault="00312DB1" w:rsidP="00E355C1">
      <w:pPr>
        <w:jc w:val="both"/>
        <w:rPr>
          <w:rFonts w:ascii="Arial" w:hAnsi="Arial" w:cs="Arial"/>
          <w:sz w:val="24"/>
          <w:szCs w:val="24"/>
        </w:rPr>
      </w:pPr>
      <w:r>
        <w:rPr>
          <w:rFonts w:ascii="Arial" w:hAnsi="Arial" w:cs="Arial"/>
          <w:sz w:val="24"/>
          <w:szCs w:val="24"/>
        </w:rPr>
        <w:t xml:space="preserve">Regulations have been crucial in changing the banking in general and </w:t>
      </w:r>
      <w:proofErr w:type="gramStart"/>
      <w:r>
        <w:rPr>
          <w:rFonts w:ascii="Arial" w:hAnsi="Arial" w:cs="Arial"/>
          <w:sz w:val="24"/>
          <w:szCs w:val="24"/>
        </w:rPr>
        <w:t>treasury in particular</w:t>
      </w:r>
      <w:proofErr w:type="gramEnd"/>
      <w:r>
        <w:rPr>
          <w:rFonts w:ascii="Arial" w:hAnsi="Arial" w:cs="Arial"/>
          <w:sz w:val="24"/>
          <w:szCs w:val="24"/>
        </w:rPr>
        <w:t>. Regulations require greater control, monitoring and management of risks derived from treasury operations</w:t>
      </w:r>
      <w:r w:rsidR="002826C4">
        <w:rPr>
          <w:rFonts w:ascii="Arial" w:hAnsi="Arial" w:cs="Arial"/>
          <w:sz w:val="24"/>
          <w:szCs w:val="24"/>
        </w:rPr>
        <w:t xml:space="preserve">, </w:t>
      </w:r>
      <w:proofErr w:type="gramStart"/>
      <w:r w:rsidR="002826C4">
        <w:rPr>
          <w:rFonts w:ascii="Arial" w:hAnsi="Arial" w:cs="Arial"/>
          <w:sz w:val="24"/>
          <w:szCs w:val="24"/>
        </w:rPr>
        <w:t>e.g.</w:t>
      </w:r>
      <w:proofErr w:type="gramEnd"/>
      <w:r w:rsidR="002826C4">
        <w:rPr>
          <w:rFonts w:ascii="Arial" w:hAnsi="Arial" w:cs="Arial"/>
          <w:sz w:val="24"/>
          <w:szCs w:val="24"/>
        </w:rPr>
        <w:t xml:space="preserve"> </w:t>
      </w:r>
      <w:proofErr w:type="spellStart"/>
      <w:r w:rsidR="002826C4">
        <w:rPr>
          <w:rFonts w:ascii="Arial" w:hAnsi="Arial" w:cs="Arial"/>
          <w:sz w:val="24"/>
          <w:szCs w:val="24"/>
        </w:rPr>
        <w:t>Fx</w:t>
      </w:r>
      <w:proofErr w:type="spellEnd"/>
      <w:r w:rsidR="002826C4">
        <w:rPr>
          <w:rFonts w:ascii="Arial" w:hAnsi="Arial" w:cs="Arial"/>
          <w:sz w:val="24"/>
          <w:szCs w:val="24"/>
        </w:rPr>
        <w:t xml:space="preserve"> exposure strategies</w:t>
      </w:r>
      <w:r>
        <w:rPr>
          <w:rFonts w:ascii="Arial" w:hAnsi="Arial" w:cs="Arial"/>
          <w:sz w:val="24"/>
          <w:szCs w:val="24"/>
        </w:rPr>
        <w:t>.</w:t>
      </w:r>
    </w:p>
    <w:p w14:paraId="337745DA" w14:textId="6B0D2ED1" w:rsidR="00E355C1" w:rsidRDefault="00393AEA" w:rsidP="00A60E31">
      <w:pPr>
        <w:spacing w:after="0" w:line="240" w:lineRule="auto"/>
        <w:jc w:val="both"/>
        <w:rPr>
          <w:rFonts w:ascii="Arial" w:hAnsi="Arial" w:cs="Arial"/>
          <w:b/>
        </w:rPr>
      </w:pPr>
      <w:r>
        <w:rPr>
          <w:rFonts w:ascii="Arial" w:hAnsi="Arial" w:cs="Arial"/>
          <w:b/>
        </w:rPr>
        <w:t>H</w:t>
      </w:r>
      <w:r w:rsidR="00E355C1" w:rsidRPr="00A60E31">
        <w:rPr>
          <w:rFonts w:ascii="Arial" w:hAnsi="Arial" w:cs="Arial"/>
          <w:b/>
        </w:rPr>
        <w:t>. Evolution and use of technology in treasury operations</w:t>
      </w:r>
    </w:p>
    <w:p w14:paraId="73C9F2B2" w14:textId="27193F91" w:rsidR="002826C4" w:rsidRDefault="002826C4" w:rsidP="00A60E31">
      <w:pPr>
        <w:spacing w:after="0" w:line="240" w:lineRule="auto"/>
        <w:jc w:val="both"/>
        <w:rPr>
          <w:rFonts w:ascii="Arial" w:hAnsi="Arial" w:cs="Arial"/>
          <w:b/>
        </w:rPr>
      </w:pPr>
    </w:p>
    <w:p w14:paraId="0EA866F6" w14:textId="51FCDEF5" w:rsidR="002826C4" w:rsidRDefault="002826C4" w:rsidP="00A60E31">
      <w:pPr>
        <w:spacing w:after="0" w:line="240" w:lineRule="auto"/>
        <w:jc w:val="both"/>
        <w:rPr>
          <w:rFonts w:ascii="Arial" w:hAnsi="Arial" w:cs="Arial"/>
          <w:b/>
        </w:rPr>
      </w:pPr>
      <w:r>
        <w:rPr>
          <w:rFonts w:ascii="Arial" w:hAnsi="Arial" w:cs="Arial"/>
          <w:b/>
        </w:rPr>
        <w:t>IT plays a critical role in system &amp; process integrations, establishing connections and ensuring availability of data.</w:t>
      </w:r>
    </w:p>
    <w:p w14:paraId="55E37792" w14:textId="77777777" w:rsidR="00A60E31" w:rsidRPr="00A60E31" w:rsidRDefault="00A60E31" w:rsidP="00A60E31">
      <w:pPr>
        <w:spacing w:after="0" w:line="240" w:lineRule="auto"/>
        <w:jc w:val="both"/>
        <w:rPr>
          <w:rFonts w:ascii="Arial" w:hAnsi="Arial" w:cs="Arial"/>
          <w:b/>
        </w:rPr>
      </w:pPr>
    </w:p>
    <w:p w14:paraId="695E49CC" w14:textId="77777777" w:rsidR="009B585F" w:rsidRDefault="00194C4A" w:rsidP="00EB3264">
      <w:pPr>
        <w:jc w:val="both"/>
        <w:rPr>
          <w:rFonts w:ascii="Arial" w:hAnsi="Arial" w:cs="Arial"/>
          <w:sz w:val="24"/>
          <w:szCs w:val="24"/>
        </w:rPr>
      </w:pPr>
      <w:r w:rsidRPr="00A60E31">
        <w:rPr>
          <w:rFonts w:ascii="Arial" w:hAnsi="Arial" w:cs="Arial"/>
          <w:sz w:val="24"/>
          <w:szCs w:val="24"/>
        </w:rPr>
        <w:t xml:space="preserve">Technology adoption and absorption have revolutionised Treasury operations. The commercial banks have been adopting technology to increase their supervisory rigour as well as enhance operational efficiency. Recent advances in technologies including Artificial Intelligence, Machine Learning, Robotic Process Automation, and Predictive </w:t>
      </w:r>
    </w:p>
    <w:p w14:paraId="52D3CDD2" w14:textId="596CB18E" w:rsidR="009B585F" w:rsidRDefault="009B585F" w:rsidP="009B585F">
      <w:pPr>
        <w:jc w:val="right"/>
        <w:rPr>
          <w:rFonts w:ascii="Arial" w:hAnsi="Arial" w:cs="Arial"/>
          <w:sz w:val="24"/>
          <w:szCs w:val="24"/>
        </w:rPr>
      </w:pPr>
      <w:r w:rsidRPr="00F238E1">
        <w:rPr>
          <w:rFonts w:cstheme="minorHAnsi"/>
          <w:noProof/>
          <w:sz w:val="24"/>
          <w:szCs w:val="24"/>
          <w:lang w:eastAsia="en-IN"/>
        </w:rPr>
        <w:lastRenderedPageBreak/>
        <w:drawing>
          <wp:inline distT="0" distB="0" distL="0" distR="0" wp14:anchorId="39E48581" wp14:editId="0EE27571">
            <wp:extent cx="1714500" cy="607930"/>
            <wp:effectExtent l="0" t="0" r="0" b="1905"/>
            <wp:docPr id="9" name="Picture 9"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294EA001" w14:textId="4543D628" w:rsidR="00D03C1C" w:rsidRPr="00A60E31" w:rsidRDefault="00194C4A" w:rsidP="009B585F">
      <w:pPr>
        <w:jc w:val="both"/>
        <w:rPr>
          <w:rFonts w:ascii="Arial" w:hAnsi="Arial" w:cs="Arial"/>
          <w:sz w:val="24"/>
          <w:szCs w:val="24"/>
        </w:rPr>
      </w:pPr>
      <w:r w:rsidRPr="00A60E31">
        <w:rPr>
          <w:rFonts w:ascii="Arial" w:hAnsi="Arial" w:cs="Arial"/>
          <w:sz w:val="24"/>
          <w:szCs w:val="24"/>
        </w:rPr>
        <w:t>Analytics are being leveraged for more accurate, data</w:t>
      </w:r>
      <w:r w:rsidR="009D1B6E">
        <w:rPr>
          <w:rFonts w:ascii="Arial" w:hAnsi="Arial" w:cs="Arial"/>
          <w:sz w:val="24"/>
          <w:szCs w:val="24"/>
        </w:rPr>
        <w:t>-driven decision making and</w:t>
      </w:r>
      <w:r w:rsidR="00A53A0D">
        <w:rPr>
          <w:rFonts w:ascii="Arial" w:hAnsi="Arial" w:cs="Arial"/>
          <w:sz w:val="24"/>
          <w:szCs w:val="24"/>
        </w:rPr>
        <w:t xml:space="preserve"> for</w:t>
      </w:r>
      <w:r w:rsidR="009D1B6E">
        <w:rPr>
          <w:rFonts w:ascii="Arial" w:hAnsi="Arial" w:cs="Arial"/>
          <w:sz w:val="24"/>
          <w:szCs w:val="24"/>
        </w:rPr>
        <w:t xml:space="preserve"> saving</w:t>
      </w:r>
      <w:r w:rsidR="00477D2B">
        <w:rPr>
          <w:rFonts w:ascii="Arial" w:hAnsi="Arial" w:cs="Arial"/>
          <w:sz w:val="24"/>
          <w:szCs w:val="24"/>
        </w:rPr>
        <w:t>s</w:t>
      </w:r>
      <w:r w:rsidRPr="00A60E31">
        <w:rPr>
          <w:rFonts w:ascii="Arial" w:hAnsi="Arial" w:cs="Arial"/>
          <w:sz w:val="24"/>
          <w:szCs w:val="24"/>
        </w:rPr>
        <w:t xml:space="preserve"> on costs.</w:t>
      </w:r>
    </w:p>
    <w:p w14:paraId="2B62062C" w14:textId="2C51835E" w:rsidR="00E355C1" w:rsidRDefault="00393AEA" w:rsidP="00E355C1">
      <w:pPr>
        <w:jc w:val="both"/>
        <w:rPr>
          <w:rFonts w:ascii="Arial" w:hAnsi="Arial" w:cs="Arial"/>
          <w:b/>
        </w:rPr>
      </w:pPr>
      <w:r>
        <w:rPr>
          <w:rFonts w:ascii="Arial" w:hAnsi="Arial" w:cs="Arial"/>
          <w:b/>
        </w:rPr>
        <w:t>I</w:t>
      </w:r>
      <w:r w:rsidR="00E355C1" w:rsidRPr="008661D5">
        <w:rPr>
          <w:rFonts w:ascii="Arial" w:hAnsi="Arial" w:cs="Arial"/>
          <w:b/>
        </w:rPr>
        <w:t>. Treasury Marketing</w:t>
      </w:r>
    </w:p>
    <w:p w14:paraId="4E29808B" w14:textId="29CB64A0" w:rsidR="004E32FD" w:rsidRPr="008661D5" w:rsidRDefault="004E32FD" w:rsidP="00E355C1">
      <w:pPr>
        <w:jc w:val="both"/>
        <w:rPr>
          <w:rFonts w:ascii="Arial" w:hAnsi="Arial" w:cs="Arial"/>
          <w:b/>
        </w:rPr>
      </w:pPr>
      <w:r>
        <w:rPr>
          <w:rFonts w:ascii="Arial" w:hAnsi="Arial" w:cs="Arial"/>
          <w:b/>
        </w:rPr>
        <w:t>Treasury marketing is a highly specialised area catering to individual and institutional customers’ investment needs.</w:t>
      </w:r>
    </w:p>
    <w:p w14:paraId="4EA8773C" w14:textId="66408F57" w:rsidR="00F87A45" w:rsidRDefault="00F751F6" w:rsidP="00807CB8">
      <w:pPr>
        <w:jc w:val="both"/>
        <w:rPr>
          <w:rFonts w:ascii="Arial" w:hAnsi="Arial" w:cs="Arial"/>
          <w:sz w:val="24"/>
          <w:szCs w:val="24"/>
        </w:rPr>
      </w:pPr>
      <w:r w:rsidRPr="008661D5">
        <w:rPr>
          <w:rFonts w:ascii="Arial" w:hAnsi="Arial" w:cs="Arial"/>
          <w:sz w:val="24"/>
          <w:szCs w:val="24"/>
        </w:rPr>
        <w:t>Promotin</w:t>
      </w:r>
      <w:r w:rsidR="007C6DDE">
        <w:rPr>
          <w:rFonts w:ascii="Arial" w:hAnsi="Arial" w:cs="Arial"/>
          <w:sz w:val="24"/>
          <w:szCs w:val="24"/>
        </w:rPr>
        <w:t xml:space="preserve">g value to commercial customers </w:t>
      </w:r>
      <w:r w:rsidRPr="008661D5">
        <w:rPr>
          <w:rFonts w:ascii="Arial" w:hAnsi="Arial" w:cs="Arial"/>
          <w:sz w:val="24"/>
          <w:szCs w:val="24"/>
        </w:rPr>
        <w:t>is </w:t>
      </w:r>
      <w:hyperlink r:id="rId8" w:tgtFrame="_self" w:history="1">
        <w:r w:rsidRPr="008661D5">
          <w:rPr>
            <w:rFonts w:ascii="Arial" w:hAnsi="Arial" w:cs="Arial"/>
            <w:sz w:val="24"/>
            <w:szCs w:val="24"/>
          </w:rPr>
          <w:t>essential to treasury management</w:t>
        </w:r>
      </w:hyperlink>
      <w:r w:rsidRPr="008661D5">
        <w:rPr>
          <w:rFonts w:ascii="Arial" w:hAnsi="Arial" w:cs="Arial"/>
          <w:sz w:val="24"/>
          <w:szCs w:val="24"/>
        </w:rPr>
        <w:t xml:space="preserve">, for attracting, retaining and deepening customer relationships. If treasury is to drive revenue, it must </w:t>
      </w:r>
      <w:r w:rsidR="007C6DDE">
        <w:rPr>
          <w:rFonts w:ascii="Arial" w:hAnsi="Arial" w:cs="Arial"/>
          <w:sz w:val="24"/>
          <w:szCs w:val="24"/>
        </w:rPr>
        <w:t xml:space="preserve">effectively </w:t>
      </w:r>
      <w:r w:rsidRPr="008661D5">
        <w:rPr>
          <w:rFonts w:ascii="Arial" w:hAnsi="Arial" w:cs="Arial"/>
          <w:sz w:val="24"/>
          <w:szCs w:val="24"/>
        </w:rPr>
        <w:t xml:space="preserve">market its </w:t>
      </w:r>
      <w:r w:rsidR="002E294A">
        <w:rPr>
          <w:rFonts w:ascii="Arial" w:hAnsi="Arial" w:cs="Arial"/>
          <w:sz w:val="24"/>
          <w:szCs w:val="24"/>
        </w:rPr>
        <w:t>product</w:t>
      </w:r>
      <w:r w:rsidRPr="008661D5">
        <w:rPr>
          <w:rFonts w:ascii="Arial" w:hAnsi="Arial" w:cs="Arial"/>
          <w:sz w:val="24"/>
          <w:szCs w:val="24"/>
        </w:rPr>
        <w:t>s</w:t>
      </w:r>
      <w:r w:rsidR="002E294A">
        <w:rPr>
          <w:rFonts w:ascii="Arial" w:hAnsi="Arial" w:cs="Arial"/>
          <w:sz w:val="24"/>
          <w:szCs w:val="24"/>
        </w:rPr>
        <w:t xml:space="preserve"> and services</w:t>
      </w:r>
      <w:r w:rsidRPr="008661D5">
        <w:rPr>
          <w:rFonts w:ascii="Arial" w:hAnsi="Arial" w:cs="Arial"/>
          <w:sz w:val="24"/>
          <w:szCs w:val="24"/>
        </w:rPr>
        <w:t xml:space="preserve"> </w:t>
      </w:r>
      <w:r w:rsidR="007C6DDE">
        <w:rPr>
          <w:rFonts w:ascii="Arial" w:hAnsi="Arial" w:cs="Arial"/>
          <w:sz w:val="24"/>
          <w:szCs w:val="24"/>
        </w:rPr>
        <w:t>to individual and institutional clients</w:t>
      </w:r>
      <w:r w:rsidRPr="008661D5">
        <w:rPr>
          <w:rFonts w:ascii="Arial" w:hAnsi="Arial" w:cs="Arial"/>
          <w:sz w:val="24"/>
          <w:szCs w:val="24"/>
        </w:rPr>
        <w:t>.</w:t>
      </w:r>
    </w:p>
    <w:p w14:paraId="5799BC81" w14:textId="1C7382BB" w:rsidR="002E294A" w:rsidRPr="008661D5" w:rsidRDefault="00531A0F" w:rsidP="00807CB8">
      <w:pPr>
        <w:jc w:val="both"/>
        <w:rPr>
          <w:rFonts w:ascii="Arial" w:hAnsi="Arial" w:cs="Arial"/>
          <w:sz w:val="24"/>
          <w:szCs w:val="24"/>
        </w:rPr>
      </w:pPr>
      <w:r>
        <w:rPr>
          <w:rFonts w:ascii="Arial" w:hAnsi="Arial" w:cs="Arial"/>
          <w:sz w:val="24"/>
          <w:szCs w:val="24"/>
        </w:rPr>
        <w:t>C</w:t>
      </w:r>
      <w:r w:rsidR="002E294A">
        <w:rPr>
          <w:rFonts w:ascii="Arial" w:hAnsi="Arial" w:cs="Arial"/>
          <w:sz w:val="24"/>
          <w:szCs w:val="24"/>
        </w:rPr>
        <w:t xml:space="preserve">ustomer appropriateness is essential before marketing any product or service. The professionals should also know the risks associated with </w:t>
      </w:r>
      <w:r>
        <w:rPr>
          <w:rFonts w:ascii="Arial" w:hAnsi="Arial" w:cs="Arial"/>
          <w:sz w:val="24"/>
          <w:szCs w:val="24"/>
        </w:rPr>
        <w:t>different</w:t>
      </w:r>
      <w:r w:rsidR="002E294A">
        <w:rPr>
          <w:rFonts w:ascii="Arial" w:hAnsi="Arial" w:cs="Arial"/>
          <w:sz w:val="24"/>
          <w:szCs w:val="24"/>
        </w:rPr>
        <w:t xml:space="preserve"> products.</w:t>
      </w:r>
    </w:p>
    <w:p w14:paraId="382E7AF4" w14:textId="57652603" w:rsidR="00E355C1" w:rsidRDefault="00393AEA" w:rsidP="008661D5">
      <w:pPr>
        <w:rPr>
          <w:rFonts w:ascii="Arial" w:hAnsi="Arial" w:cs="Arial"/>
          <w:b/>
        </w:rPr>
      </w:pPr>
      <w:r>
        <w:rPr>
          <w:rFonts w:ascii="Arial" w:hAnsi="Arial" w:cs="Arial"/>
          <w:b/>
        </w:rPr>
        <w:t>J</w:t>
      </w:r>
      <w:r w:rsidR="00E355C1" w:rsidRPr="008661D5">
        <w:rPr>
          <w:rFonts w:ascii="Arial" w:hAnsi="Arial" w:cs="Arial"/>
          <w:b/>
        </w:rPr>
        <w:t>. Treasury as a profit centre (Trading and hedging)</w:t>
      </w:r>
    </w:p>
    <w:p w14:paraId="5E7018AE" w14:textId="044761C4" w:rsidR="002E294A" w:rsidRPr="008661D5" w:rsidRDefault="008D3217" w:rsidP="008661D5">
      <w:pPr>
        <w:rPr>
          <w:rFonts w:ascii="Arial" w:hAnsi="Arial" w:cs="Arial"/>
          <w:b/>
        </w:rPr>
      </w:pPr>
      <w:r>
        <w:rPr>
          <w:rFonts w:ascii="Arial" w:hAnsi="Arial" w:cs="Arial"/>
          <w:b/>
        </w:rPr>
        <w:t>Treasury department is being treated as a separate, standalone business vertical, responsible for generating profit</w:t>
      </w:r>
      <w:r w:rsidR="009642AA">
        <w:rPr>
          <w:rFonts w:ascii="Arial" w:hAnsi="Arial" w:cs="Arial"/>
          <w:b/>
        </w:rPr>
        <w:t>s</w:t>
      </w:r>
      <w:r>
        <w:rPr>
          <w:rFonts w:ascii="Arial" w:hAnsi="Arial" w:cs="Arial"/>
          <w:b/>
        </w:rPr>
        <w:t xml:space="preserve"> from treasury operations.</w:t>
      </w:r>
    </w:p>
    <w:p w14:paraId="45BD6EFD" w14:textId="63E64E54" w:rsidR="00E71E8E" w:rsidRPr="008661D5" w:rsidRDefault="00AF75B3" w:rsidP="00015D69">
      <w:pPr>
        <w:widowControl w:val="0"/>
        <w:tabs>
          <w:tab w:val="left" w:pos="740"/>
        </w:tabs>
        <w:kinsoku w:val="0"/>
        <w:overflowPunct w:val="0"/>
        <w:autoSpaceDE w:val="0"/>
        <w:autoSpaceDN w:val="0"/>
        <w:adjustRightInd w:val="0"/>
        <w:spacing w:after="0" w:line="249" w:lineRule="auto"/>
        <w:ind w:right="159"/>
        <w:jc w:val="both"/>
        <w:rPr>
          <w:rFonts w:ascii="Arial" w:hAnsi="Arial" w:cs="Arial"/>
          <w:sz w:val="24"/>
          <w:szCs w:val="24"/>
        </w:rPr>
      </w:pPr>
      <w:r w:rsidRPr="008661D5">
        <w:rPr>
          <w:rFonts w:ascii="Arial" w:hAnsi="Arial" w:cs="Arial"/>
          <w:sz w:val="24"/>
          <w:szCs w:val="24"/>
        </w:rPr>
        <w:t>Treasury department acts as a profit centre for the bank and operationalize a Transfer Pricing mechanism between Branches and Treasury, so that both operate as independent Profit Centres. Moreover, treasury department generates revenue through its trading and hedging activities on behalf o</w:t>
      </w:r>
      <w:r w:rsidR="00E71E8E">
        <w:rPr>
          <w:rFonts w:ascii="Arial" w:hAnsi="Arial" w:cs="Arial"/>
          <w:sz w:val="24"/>
          <w:szCs w:val="24"/>
        </w:rPr>
        <w:t xml:space="preserve">f the organization. The professionals should develop thorough knowledge in </w:t>
      </w:r>
      <w:r w:rsidR="00E37030">
        <w:rPr>
          <w:rFonts w:ascii="Arial" w:hAnsi="Arial" w:cs="Arial"/>
          <w:sz w:val="24"/>
          <w:szCs w:val="24"/>
        </w:rPr>
        <w:t>investment, trading and management of</w:t>
      </w:r>
      <w:r w:rsidR="005E1457">
        <w:rPr>
          <w:rFonts w:ascii="Arial" w:hAnsi="Arial" w:cs="Arial"/>
          <w:sz w:val="24"/>
          <w:szCs w:val="24"/>
        </w:rPr>
        <w:t xml:space="preserve"> </w:t>
      </w:r>
      <w:r w:rsidR="00E71E8E">
        <w:rPr>
          <w:rFonts w:ascii="Arial" w:hAnsi="Arial" w:cs="Arial"/>
          <w:sz w:val="24"/>
          <w:szCs w:val="24"/>
        </w:rPr>
        <w:t>risks associated with the operations.</w:t>
      </w:r>
    </w:p>
    <w:p w14:paraId="453062EA" w14:textId="77777777" w:rsidR="00015D69" w:rsidRPr="00F238E1" w:rsidRDefault="00015D69" w:rsidP="00015D69">
      <w:pPr>
        <w:widowControl w:val="0"/>
        <w:tabs>
          <w:tab w:val="left" w:pos="740"/>
        </w:tabs>
        <w:kinsoku w:val="0"/>
        <w:overflowPunct w:val="0"/>
        <w:autoSpaceDE w:val="0"/>
        <w:autoSpaceDN w:val="0"/>
        <w:adjustRightInd w:val="0"/>
        <w:spacing w:after="0" w:line="249" w:lineRule="auto"/>
        <w:ind w:right="159"/>
        <w:jc w:val="both"/>
        <w:rPr>
          <w:rFonts w:cstheme="minorHAnsi"/>
          <w:sz w:val="24"/>
          <w:szCs w:val="24"/>
        </w:rPr>
      </w:pPr>
    </w:p>
    <w:p w14:paraId="6C4F8A77" w14:textId="4C67E66D" w:rsidR="00E355C1" w:rsidRDefault="00393AEA" w:rsidP="002B3F8A">
      <w:pPr>
        <w:jc w:val="both"/>
        <w:rPr>
          <w:rFonts w:ascii="Arial" w:hAnsi="Arial" w:cs="Arial"/>
          <w:b/>
        </w:rPr>
      </w:pPr>
      <w:r>
        <w:rPr>
          <w:rFonts w:ascii="Arial" w:hAnsi="Arial" w:cs="Arial"/>
          <w:b/>
        </w:rPr>
        <w:t>K</w:t>
      </w:r>
      <w:r w:rsidR="00E355C1" w:rsidRPr="008661D5">
        <w:rPr>
          <w:rFonts w:ascii="Arial" w:hAnsi="Arial" w:cs="Arial"/>
          <w:b/>
        </w:rPr>
        <w:t>. Treasury code of conduct</w:t>
      </w:r>
      <w:r w:rsidR="002A4456">
        <w:rPr>
          <w:rFonts w:ascii="Arial" w:hAnsi="Arial" w:cs="Arial"/>
          <w:b/>
        </w:rPr>
        <w:t xml:space="preserve"> and Ethical Culture</w:t>
      </w:r>
    </w:p>
    <w:p w14:paraId="48FFB50B" w14:textId="5386B11F" w:rsidR="002A4456" w:rsidRPr="008661D5" w:rsidRDefault="002A4456" w:rsidP="002B3F8A">
      <w:pPr>
        <w:jc w:val="both"/>
        <w:rPr>
          <w:rFonts w:ascii="Arial" w:hAnsi="Arial" w:cs="Arial"/>
          <w:b/>
        </w:rPr>
      </w:pPr>
      <w:r>
        <w:rPr>
          <w:rFonts w:ascii="Arial" w:hAnsi="Arial" w:cs="Arial"/>
          <w:b/>
        </w:rPr>
        <w:t>Ethical codes provide an effective framework for all the activities in treasury. It is expected that all the treasury professionals should act in accordance with the highest professional and ethical standards.</w:t>
      </w:r>
    </w:p>
    <w:p w14:paraId="6A858C90" w14:textId="77777777" w:rsidR="00B03983" w:rsidRPr="008661D5" w:rsidRDefault="009E0238" w:rsidP="00E355C1">
      <w:pPr>
        <w:jc w:val="both"/>
        <w:rPr>
          <w:rFonts w:ascii="Arial" w:hAnsi="Arial" w:cs="Arial"/>
          <w:sz w:val="24"/>
          <w:szCs w:val="24"/>
        </w:rPr>
      </w:pPr>
      <w:r w:rsidRPr="008661D5">
        <w:rPr>
          <w:rFonts w:ascii="Arial" w:hAnsi="Arial" w:cs="Arial"/>
          <w:sz w:val="24"/>
          <w:szCs w:val="24"/>
        </w:rPr>
        <w:t xml:space="preserve">In the dealing room and Treasury, the people are expected to maintain highest standards of honesty and integrity because of the nature of business/work </w:t>
      </w:r>
      <w:proofErr w:type="gramStart"/>
      <w:r w:rsidRPr="008661D5">
        <w:rPr>
          <w:rFonts w:ascii="Arial" w:hAnsi="Arial" w:cs="Arial"/>
          <w:sz w:val="24"/>
          <w:szCs w:val="24"/>
        </w:rPr>
        <w:t>and also</w:t>
      </w:r>
      <w:proofErr w:type="gramEnd"/>
      <w:r w:rsidRPr="008661D5">
        <w:rPr>
          <w:rFonts w:ascii="Arial" w:hAnsi="Arial" w:cs="Arial"/>
          <w:sz w:val="24"/>
          <w:szCs w:val="24"/>
        </w:rPr>
        <w:t xml:space="preserve"> because of the volumes of business handled</w:t>
      </w:r>
      <w:r w:rsidR="00B03983" w:rsidRPr="008661D5">
        <w:rPr>
          <w:rFonts w:ascii="Arial" w:hAnsi="Arial" w:cs="Arial"/>
          <w:sz w:val="24"/>
          <w:szCs w:val="24"/>
        </w:rPr>
        <w:t xml:space="preserve">. </w:t>
      </w:r>
    </w:p>
    <w:p w14:paraId="427FE0CE" w14:textId="379118D0" w:rsidR="00E355C1" w:rsidRPr="008661D5" w:rsidRDefault="003D5013" w:rsidP="00E355C1">
      <w:pPr>
        <w:jc w:val="both"/>
        <w:rPr>
          <w:rFonts w:ascii="Arial" w:hAnsi="Arial" w:cs="Arial"/>
          <w:sz w:val="24"/>
          <w:szCs w:val="24"/>
        </w:rPr>
      </w:pPr>
      <w:r w:rsidRPr="008661D5">
        <w:rPr>
          <w:rFonts w:ascii="Arial" w:hAnsi="Arial" w:cs="Arial"/>
          <w:sz w:val="24"/>
          <w:szCs w:val="24"/>
        </w:rPr>
        <w:t xml:space="preserve">All treasury functionaries, active in the </w:t>
      </w:r>
      <w:r w:rsidR="000D3BAA" w:rsidRPr="008661D5">
        <w:rPr>
          <w:rFonts w:ascii="Arial" w:hAnsi="Arial" w:cs="Arial"/>
          <w:sz w:val="24"/>
          <w:szCs w:val="24"/>
        </w:rPr>
        <w:t>day-to-day</w:t>
      </w:r>
      <w:r w:rsidRPr="008661D5">
        <w:rPr>
          <w:rFonts w:ascii="Arial" w:hAnsi="Arial" w:cs="Arial"/>
          <w:sz w:val="24"/>
          <w:szCs w:val="24"/>
        </w:rPr>
        <w:t xml:space="preserve"> trading activities in the Indian markets, must acknowledge familiarity with, and provide an undertaking to adhere to </w:t>
      </w:r>
      <w:r w:rsidR="00E1028D" w:rsidRPr="008661D5">
        <w:rPr>
          <w:rFonts w:ascii="Arial" w:hAnsi="Arial" w:cs="Arial"/>
          <w:sz w:val="24"/>
          <w:szCs w:val="24"/>
        </w:rPr>
        <w:t xml:space="preserve">the relevant </w:t>
      </w:r>
      <w:r w:rsidRPr="008661D5">
        <w:rPr>
          <w:rFonts w:ascii="Arial" w:hAnsi="Arial" w:cs="Arial"/>
          <w:sz w:val="24"/>
          <w:szCs w:val="24"/>
        </w:rPr>
        <w:t>code of conduct. Relevant emphasis on the code of conduct is required to be ensured in the Standards.</w:t>
      </w:r>
    </w:p>
    <w:p w14:paraId="29E5F43E" w14:textId="52EA3AA0" w:rsidR="00D71D87" w:rsidRPr="008661D5" w:rsidRDefault="00393AEA" w:rsidP="00E355C1">
      <w:pPr>
        <w:jc w:val="both"/>
        <w:rPr>
          <w:rFonts w:ascii="Arial" w:hAnsi="Arial" w:cs="Arial"/>
          <w:b/>
        </w:rPr>
      </w:pPr>
      <w:r>
        <w:rPr>
          <w:rFonts w:ascii="Arial" w:hAnsi="Arial" w:cs="Arial"/>
          <w:b/>
        </w:rPr>
        <w:t>L</w:t>
      </w:r>
      <w:r w:rsidR="00D71D87" w:rsidRPr="008661D5">
        <w:rPr>
          <w:rFonts w:ascii="Arial" w:hAnsi="Arial" w:cs="Arial"/>
          <w:b/>
        </w:rPr>
        <w:t>. Integrated/Centralised Treasury Management</w:t>
      </w:r>
    </w:p>
    <w:p w14:paraId="48D31FAA" w14:textId="77777777" w:rsidR="00573E95" w:rsidRPr="00573E95" w:rsidRDefault="00573E95" w:rsidP="008661D5">
      <w:pPr>
        <w:jc w:val="both"/>
        <w:rPr>
          <w:rFonts w:ascii="Arial" w:hAnsi="Arial" w:cs="Arial"/>
          <w:b/>
        </w:rPr>
      </w:pPr>
      <w:r w:rsidRPr="00573E95">
        <w:rPr>
          <w:rFonts w:ascii="Arial" w:hAnsi="Arial" w:cs="Arial"/>
          <w:b/>
        </w:rPr>
        <w:t>Integrated treasury is a holistic approach for deployment of funds across domestic and international markets.</w:t>
      </w:r>
    </w:p>
    <w:p w14:paraId="0D03D089" w14:textId="77777777" w:rsidR="00A0165F" w:rsidRDefault="00D71D87" w:rsidP="008661D5">
      <w:pPr>
        <w:jc w:val="both"/>
        <w:rPr>
          <w:rFonts w:ascii="Arial" w:hAnsi="Arial" w:cs="Arial"/>
          <w:sz w:val="24"/>
          <w:szCs w:val="24"/>
        </w:rPr>
      </w:pPr>
      <w:r w:rsidRPr="008661D5">
        <w:rPr>
          <w:rFonts w:ascii="Arial" w:hAnsi="Arial" w:cs="Arial"/>
          <w:sz w:val="24"/>
          <w:szCs w:val="24"/>
        </w:rPr>
        <w:t xml:space="preserve">The main advantage of unified treasury is that </w:t>
      </w:r>
      <w:r w:rsidR="008A20E7" w:rsidRPr="008661D5">
        <w:rPr>
          <w:rFonts w:ascii="Arial" w:hAnsi="Arial" w:cs="Arial"/>
          <w:sz w:val="24"/>
          <w:szCs w:val="24"/>
        </w:rPr>
        <w:t xml:space="preserve">it is easy to get accurate and updated data and a clearer picture of the liquidity position of the Bank. It will result in an </w:t>
      </w:r>
    </w:p>
    <w:p w14:paraId="44A8A516" w14:textId="0FA4446E" w:rsidR="00A0165F" w:rsidRDefault="00A0165F" w:rsidP="00A0165F">
      <w:pPr>
        <w:jc w:val="right"/>
        <w:rPr>
          <w:rFonts w:ascii="Arial" w:hAnsi="Arial" w:cs="Arial"/>
          <w:sz w:val="24"/>
          <w:szCs w:val="24"/>
        </w:rPr>
      </w:pPr>
      <w:r w:rsidRPr="00F238E1">
        <w:rPr>
          <w:rFonts w:cstheme="minorHAnsi"/>
          <w:noProof/>
          <w:sz w:val="24"/>
          <w:szCs w:val="24"/>
          <w:lang w:eastAsia="en-IN"/>
        </w:rPr>
        <w:lastRenderedPageBreak/>
        <w:drawing>
          <wp:inline distT="0" distB="0" distL="0" distR="0" wp14:anchorId="2BE1E1CA" wp14:editId="139FD435">
            <wp:extent cx="1714500" cy="607930"/>
            <wp:effectExtent l="0" t="0" r="0" b="1905"/>
            <wp:docPr id="10" name="Picture 10"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55B53465" w14:textId="47F8B60B" w:rsidR="00DF61D7" w:rsidRDefault="008A20E7" w:rsidP="001D47B9">
      <w:pPr>
        <w:jc w:val="both"/>
        <w:rPr>
          <w:rFonts w:ascii="Arial" w:hAnsi="Arial" w:cs="Arial"/>
          <w:sz w:val="24"/>
          <w:szCs w:val="24"/>
        </w:rPr>
      </w:pPr>
      <w:r w:rsidRPr="008661D5">
        <w:rPr>
          <w:rFonts w:ascii="Arial" w:hAnsi="Arial" w:cs="Arial"/>
          <w:sz w:val="24"/>
          <w:szCs w:val="24"/>
        </w:rPr>
        <w:t>increase in efficiency and improve the speed of decision making.</w:t>
      </w:r>
      <w:r w:rsidR="008661D5">
        <w:rPr>
          <w:rFonts w:ascii="Arial" w:hAnsi="Arial" w:cs="Arial"/>
          <w:sz w:val="24"/>
          <w:szCs w:val="24"/>
        </w:rPr>
        <w:t xml:space="preserve"> Emerging trends in</w:t>
      </w:r>
      <w:r w:rsidR="004D1E44">
        <w:rPr>
          <w:rFonts w:ascii="Arial" w:hAnsi="Arial" w:cs="Arial"/>
          <w:sz w:val="24"/>
          <w:szCs w:val="24"/>
        </w:rPr>
        <w:t xml:space="preserve"> treasury involve</w:t>
      </w:r>
      <w:r w:rsidR="00015D69" w:rsidRPr="008661D5">
        <w:rPr>
          <w:rFonts w:ascii="Arial" w:hAnsi="Arial" w:cs="Arial"/>
          <w:sz w:val="24"/>
          <w:szCs w:val="24"/>
        </w:rPr>
        <w:t xml:space="preserve"> a more interactive eco-system aroun</w:t>
      </w:r>
      <w:r w:rsidR="00A0165F">
        <w:rPr>
          <w:rFonts w:ascii="Arial" w:hAnsi="Arial" w:cs="Arial"/>
          <w:sz w:val="24"/>
          <w:szCs w:val="24"/>
        </w:rPr>
        <w:t xml:space="preserve">d corporate treasury and banks, </w:t>
      </w:r>
      <w:r w:rsidR="00DF61D7" w:rsidRPr="008661D5">
        <w:rPr>
          <w:rFonts w:ascii="Arial" w:hAnsi="Arial" w:cs="Arial"/>
          <w:sz w:val="24"/>
          <w:szCs w:val="24"/>
        </w:rPr>
        <w:t xml:space="preserve">payment hub factories and consolidation by technology players, cloud offerings and outsourcing. </w:t>
      </w:r>
    </w:p>
    <w:p w14:paraId="39FDDFC8" w14:textId="4323F685" w:rsidR="00A1534F" w:rsidRPr="00852781" w:rsidRDefault="00015D69" w:rsidP="001D47B9">
      <w:pPr>
        <w:jc w:val="both"/>
        <w:rPr>
          <w:rFonts w:ascii="Arial" w:hAnsi="Arial" w:cs="Arial"/>
          <w:sz w:val="24"/>
          <w:szCs w:val="24"/>
        </w:rPr>
      </w:pPr>
      <w:r w:rsidRPr="008661D5">
        <w:rPr>
          <w:rFonts w:ascii="Arial" w:hAnsi="Arial" w:cs="Arial"/>
          <w:sz w:val="24"/>
          <w:szCs w:val="24"/>
        </w:rPr>
        <w:t>The role of the treasury has evolved from being a centralized liquidity management function to that of a comprehensive payment, supply chain, liquidity and forex management function while becoming innovative in order to develop an independent identity for itself.</w:t>
      </w:r>
    </w:p>
    <w:p w14:paraId="3A681654" w14:textId="78143338" w:rsidR="00AE5EDE" w:rsidRPr="004653D3" w:rsidRDefault="00AE5EDE" w:rsidP="001D47B9">
      <w:pPr>
        <w:jc w:val="both"/>
        <w:rPr>
          <w:rFonts w:ascii="Arial" w:hAnsi="Arial" w:cs="Arial"/>
          <w:b/>
        </w:rPr>
      </w:pPr>
      <w:proofErr w:type="spellStart"/>
      <w:r w:rsidRPr="004653D3">
        <w:rPr>
          <w:rFonts w:ascii="Arial" w:hAnsi="Arial" w:cs="Arial"/>
          <w:b/>
        </w:rPr>
        <w:t>GBEStB</w:t>
      </w:r>
      <w:proofErr w:type="spellEnd"/>
      <w:r w:rsidRPr="004653D3">
        <w:rPr>
          <w:rFonts w:ascii="Arial" w:hAnsi="Arial" w:cs="Arial"/>
          <w:b/>
        </w:rPr>
        <w:t xml:space="preserve"> member bodies shall ensure that all </w:t>
      </w:r>
      <w:r>
        <w:rPr>
          <w:rFonts w:ascii="Arial" w:hAnsi="Arial" w:cs="Arial"/>
          <w:b/>
        </w:rPr>
        <w:t>Professional Banker</w:t>
      </w:r>
      <w:r w:rsidRPr="004653D3">
        <w:rPr>
          <w:rFonts w:ascii="Arial" w:hAnsi="Arial" w:cs="Arial"/>
          <w:b/>
        </w:rPr>
        <w:t xml:space="preserve">s demonstrate AT LEAST an understanding of the key topics set out above </w:t>
      </w:r>
    </w:p>
    <w:p w14:paraId="462D5F25" w14:textId="77777777" w:rsidR="00AE5EDE" w:rsidRDefault="00AE5EDE" w:rsidP="001D47B9">
      <w:pPr>
        <w:spacing w:after="180"/>
        <w:jc w:val="both"/>
        <w:rPr>
          <w:rFonts w:ascii="Arial" w:hAnsi="Arial" w:cs="Arial"/>
          <w:i/>
        </w:rPr>
      </w:pPr>
      <w:r>
        <w:rPr>
          <w:rFonts w:ascii="Arial" w:hAnsi="Arial" w:cs="Arial"/>
          <w:i/>
        </w:rPr>
        <w:t xml:space="preserve">For Professional Bankers with experience in banking and financial services, </w:t>
      </w:r>
      <w:proofErr w:type="spellStart"/>
      <w:r w:rsidRPr="008D3CD2">
        <w:rPr>
          <w:rFonts w:ascii="Arial" w:hAnsi="Arial" w:cs="Arial"/>
          <w:i/>
        </w:rPr>
        <w:t>GBEStB</w:t>
      </w:r>
      <w:proofErr w:type="spellEnd"/>
      <w:r w:rsidRPr="008D3CD2">
        <w:rPr>
          <w:rFonts w:ascii="Arial" w:hAnsi="Arial" w:cs="Arial"/>
          <w:i/>
        </w:rPr>
        <w:t xml:space="preserve"> member bodies </w:t>
      </w:r>
      <w:r>
        <w:rPr>
          <w:rFonts w:ascii="Arial" w:hAnsi="Arial" w:cs="Arial"/>
          <w:i/>
        </w:rPr>
        <w:t>may consider seeking to ensure they demonstrate an ability to analyse and apply the key topics set out above.</w:t>
      </w:r>
    </w:p>
    <w:p w14:paraId="55A7E4FC" w14:textId="77777777" w:rsidR="00AE5EDE" w:rsidRPr="00CF4475" w:rsidRDefault="00AE5EDE" w:rsidP="001D47B9">
      <w:pPr>
        <w:spacing w:after="180"/>
        <w:jc w:val="both"/>
        <w:rPr>
          <w:rFonts w:ascii="Arial" w:hAnsi="Arial" w:cs="Arial"/>
          <w:i/>
        </w:rPr>
      </w:pPr>
      <w:r>
        <w:rPr>
          <w:rFonts w:ascii="Arial" w:hAnsi="Arial" w:cs="Arial"/>
          <w:i/>
        </w:rPr>
        <w:t xml:space="preserve">For Professional Bankers at senior levels, </w:t>
      </w:r>
      <w:proofErr w:type="spellStart"/>
      <w:r>
        <w:rPr>
          <w:rFonts w:ascii="Arial" w:hAnsi="Arial" w:cs="Arial"/>
          <w:i/>
        </w:rPr>
        <w:t>GBEStB</w:t>
      </w:r>
      <w:proofErr w:type="spellEnd"/>
      <w:r>
        <w:rPr>
          <w:rFonts w:ascii="Arial" w:hAnsi="Arial" w:cs="Arial"/>
          <w:i/>
        </w:rPr>
        <w:t xml:space="preserve"> member bodies may consider seeking to ensure they demonstrate the ability to critically reflect on the key topics set out above.</w:t>
      </w:r>
    </w:p>
    <w:p w14:paraId="6AA3DAA8" w14:textId="1FE975F6" w:rsidR="00D53F06" w:rsidRPr="005A2A88" w:rsidRDefault="00D53F06" w:rsidP="00D53F06">
      <w:pPr>
        <w:jc w:val="both"/>
        <w:rPr>
          <w:rFonts w:ascii="Arial" w:hAnsi="Arial" w:cs="Arial"/>
          <w:b/>
          <w:sz w:val="24"/>
          <w:szCs w:val="24"/>
        </w:rPr>
      </w:pPr>
      <w:r>
        <w:rPr>
          <w:rFonts w:ascii="Arial" w:hAnsi="Arial" w:cs="Arial"/>
          <w:b/>
          <w:sz w:val="24"/>
          <w:szCs w:val="24"/>
        </w:rPr>
        <w:t xml:space="preserve">DELIVERY OF </w:t>
      </w:r>
      <w:r w:rsidR="002F3CE3">
        <w:rPr>
          <w:rFonts w:ascii="Arial" w:hAnsi="Arial" w:cs="Arial"/>
          <w:b/>
          <w:caps/>
          <w:sz w:val="24"/>
          <w:szCs w:val="24"/>
        </w:rPr>
        <w:t>TREASURY OPERATIONS</w:t>
      </w:r>
      <w:r w:rsidRPr="00D110BC">
        <w:rPr>
          <w:rFonts w:ascii="Arial" w:hAnsi="Arial" w:cs="Arial"/>
          <w:b/>
          <w:sz w:val="24"/>
          <w:szCs w:val="24"/>
        </w:rPr>
        <w:t xml:space="preserve"> </w:t>
      </w:r>
      <w:r>
        <w:rPr>
          <w:rFonts w:ascii="Arial" w:hAnsi="Arial" w:cs="Arial"/>
          <w:b/>
          <w:sz w:val="24"/>
          <w:szCs w:val="24"/>
        </w:rPr>
        <w:t>EDUCATION AND TRAINING PROGRAMMES</w:t>
      </w:r>
    </w:p>
    <w:p w14:paraId="2B084430" w14:textId="63B6BA9E" w:rsidR="00D53F06" w:rsidRDefault="00D53F06" w:rsidP="00D53F06">
      <w:pPr>
        <w:spacing w:after="180"/>
        <w:ind w:left="284" w:hanging="284"/>
        <w:jc w:val="both"/>
        <w:rPr>
          <w:rFonts w:ascii="Arial" w:hAnsi="Arial" w:cs="Arial"/>
          <w:b/>
        </w:rPr>
      </w:pPr>
      <w:r>
        <w:rPr>
          <w:rFonts w:ascii="Arial" w:hAnsi="Arial" w:cs="Arial"/>
          <w:b/>
        </w:rPr>
        <w:t>6</w:t>
      </w:r>
      <w:r w:rsidRPr="005A2A88">
        <w:rPr>
          <w:rFonts w:ascii="Arial" w:hAnsi="Arial" w:cs="Arial"/>
          <w:b/>
        </w:rPr>
        <w:t xml:space="preserve">. </w:t>
      </w:r>
      <w:proofErr w:type="spellStart"/>
      <w:r w:rsidRPr="005A2A88">
        <w:rPr>
          <w:rFonts w:ascii="Arial" w:hAnsi="Arial" w:cs="Arial"/>
          <w:b/>
        </w:rPr>
        <w:t>GBEStB</w:t>
      </w:r>
      <w:proofErr w:type="spellEnd"/>
      <w:r w:rsidRPr="005A2A88">
        <w:rPr>
          <w:rFonts w:ascii="Arial" w:hAnsi="Arial" w:cs="Arial"/>
          <w:b/>
        </w:rPr>
        <w:t xml:space="preserve"> member bodies </w:t>
      </w:r>
      <w:r>
        <w:rPr>
          <w:rFonts w:ascii="Arial" w:hAnsi="Arial" w:cs="Arial"/>
          <w:b/>
        </w:rPr>
        <w:t>shall</w:t>
      </w:r>
      <w:r w:rsidRPr="005A2A88">
        <w:rPr>
          <w:rFonts w:ascii="Arial" w:hAnsi="Arial" w:cs="Arial"/>
          <w:b/>
        </w:rPr>
        <w:t xml:space="preserve"> ensure that </w:t>
      </w:r>
      <w:r w:rsidR="002F3CE3">
        <w:rPr>
          <w:rFonts w:ascii="Arial" w:hAnsi="Arial" w:cs="Arial"/>
          <w:b/>
        </w:rPr>
        <w:t>Treasury Operations</w:t>
      </w:r>
      <w:r w:rsidRPr="00D805D8">
        <w:rPr>
          <w:rFonts w:ascii="Arial" w:hAnsi="Arial" w:cs="Arial"/>
          <w:b/>
        </w:rPr>
        <w:t xml:space="preserve"> </w:t>
      </w:r>
      <w:r>
        <w:rPr>
          <w:rFonts w:ascii="Arial" w:hAnsi="Arial" w:cs="Arial"/>
          <w:b/>
        </w:rPr>
        <w:t>education and training programmes use appropriate delivery methodologies that will help Professional Bankers develop and demonstrate an understanding of the key topics set out above.</w:t>
      </w:r>
    </w:p>
    <w:p w14:paraId="772CA127" w14:textId="77777777" w:rsidR="00D53F06" w:rsidRDefault="00D53F06" w:rsidP="00D53F06">
      <w:pPr>
        <w:spacing w:after="180"/>
        <w:ind w:left="284"/>
        <w:jc w:val="both"/>
        <w:rPr>
          <w:rFonts w:ascii="Arial" w:hAnsi="Arial" w:cs="Arial"/>
          <w:i/>
        </w:rPr>
      </w:pPr>
      <w:r>
        <w:rPr>
          <w:rFonts w:ascii="Arial" w:hAnsi="Arial" w:cs="Arial"/>
          <w:i/>
        </w:rPr>
        <w:t xml:space="preserve">A range of approaches and activities may be appropriate, depending on context, but may include some or </w:t>
      </w:r>
      <w:proofErr w:type="gramStart"/>
      <w:r>
        <w:rPr>
          <w:rFonts w:ascii="Arial" w:hAnsi="Arial" w:cs="Arial"/>
          <w:i/>
        </w:rPr>
        <w:t>all of</w:t>
      </w:r>
      <w:proofErr w:type="gramEnd"/>
      <w:r>
        <w:rPr>
          <w:rFonts w:ascii="Arial" w:hAnsi="Arial" w:cs="Arial"/>
          <w:i/>
        </w:rPr>
        <w:t>:</w:t>
      </w:r>
    </w:p>
    <w:p w14:paraId="062F4C75" w14:textId="2DAA7B7C" w:rsidR="00D53F06" w:rsidRDefault="00D53F06" w:rsidP="00D53F06">
      <w:pPr>
        <w:pStyle w:val="MediumGrid1-Accent21"/>
        <w:widowControl w:val="0"/>
        <w:numPr>
          <w:ilvl w:val="0"/>
          <w:numId w:val="5"/>
        </w:numPr>
        <w:autoSpaceDE w:val="0"/>
        <w:autoSpaceDN w:val="0"/>
        <w:adjustRightInd w:val="0"/>
        <w:spacing w:after="60" w:line="276" w:lineRule="auto"/>
        <w:rPr>
          <w:rFonts w:ascii="Arial" w:hAnsi="Arial" w:cs="Arial"/>
          <w:szCs w:val="18"/>
          <w:lang w:val="en-US"/>
        </w:rPr>
      </w:pPr>
      <w:r>
        <w:rPr>
          <w:rFonts w:ascii="Arial" w:hAnsi="Arial" w:cs="Arial"/>
          <w:szCs w:val="18"/>
          <w:lang w:val="en-US"/>
        </w:rPr>
        <w:t xml:space="preserve">Formal study of one or more standalone </w:t>
      </w:r>
      <w:r w:rsidR="002F3CE3">
        <w:rPr>
          <w:rFonts w:ascii="Arial" w:hAnsi="Arial" w:cs="Arial"/>
          <w:szCs w:val="18"/>
          <w:lang w:val="en-US"/>
        </w:rPr>
        <w:t>Treasury Operations</w:t>
      </w:r>
      <w:r w:rsidRPr="00D110BC">
        <w:rPr>
          <w:rFonts w:ascii="Arial" w:hAnsi="Arial" w:cs="Arial"/>
          <w:szCs w:val="18"/>
          <w:lang w:val="en-US"/>
        </w:rPr>
        <w:t xml:space="preserve"> </w:t>
      </w:r>
      <w:r>
        <w:rPr>
          <w:rFonts w:ascii="Arial" w:hAnsi="Arial" w:cs="Arial"/>
          <w:szCs w:val="18"/>
          <w:lang w:val="en-US"/>
        </w:rPr>
        <w:t>modules</w:t>
      </w:r>
      <w:r w:rsidR="002F3CE3">
        <w:rPr>
          <w:rFonts w:ascii="Arial" w:hAnsi="Arial" w:cs="Arial"/>
          <w:szCs w:val="18"/>
          <w:lang w:val="en-US"/>
        </w:rPr>
        <w:t>/</w:t>
      </w:r>
      <w:r w:rsidR="00AE5EDE">
        <w:rPr>
          <w:rFonts w:ascii="Arial" w:hAnsi="Arial" w:cs="Arial"/>
          <w:szCs w:val="18"/>
          <w:lang w:val="en-US"/>
        </w:rPr>
        <w:t>courseware</w:t>
      </w:r>
      <w:r>
        <w:rPr>
          <w:rFonts w:ascii="Arial" w:hAnsi="Arial" w:cs="Arial"/>
          <w:szCs w:val="18"/>
          <w:lang w:val="en-US"/>
        </w:rPr>
        <w:t xml:space="preserve"> as part of a wider </w:t>
      </w:r>
      <w:proofErr w:type="spellStart"/>
      <w:r>
        <w:rPr>
          <w:rFonts w:ascii="Arial" w:hAnsi="Arial" w:cs="Arial"/>
          <w:szCs w:val="18"/>
          <w:lang w:val="en-US"/>
        </w:rPr>
        <w:t>programme</w:t>
      </w:r>
      <w:proofErr w:type="spellEnd"/>
      <w:r>
        <w:rPr>
          <w:rFonts w:ascii="Arial" w:hAnsi="Arial" w:cs="Arial"/>
          <w:szCs w:val="18"/>
          <w:lang w:val="en-US"/>
        </w:rPr>
        <w:t xml:space="preserve"> of banking education;</w:t>
      </w:r>
    </w:p>
    <w:p w14:paraId="6D2B7E79" w14:textId="0F6DC8E3" w:rsidR="00D53F06" w:rsidRPr="00C72E6C" w:rsidRDefault="00856530"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rPr>
        <w:t>Train the Trainers</w:t>
      </w:r>
      <w:r w:rsidR="00D53F06">
        <w:rPr>
          <w:rFonts w:ascii="Arial" w:hAnsi="Arial" w:cs="Arial"/>
        </w:rPr>
        <w:t xml:space="preserve"> programme;</w:t>
      </w:r>
    </w:p>
    <w:p w14:paraId="389FD654" w14:textId="689DBC83" w:rsidR="00D53F06" w:rsidRDefault="00D53F06" w:rsidP="00D53F06">
      <w:pPr>
        <w:pStyle w:val="MediumGrid1-Accent21"/>
        <w:widowControl w:val="0"/>
        <w:numPr>
          <w:ilvl w:val="0"/>
          <w:numId w:val="5"/>
        </w:numPr>
        <w:autoSpaceDE w:val="0"/>
        <w:autoSpaceDN w:val="0"/>
        <w:adjustRightInd w:val="0"/>
        <w:spacing w:after="60" w:line="276" w:lineRule="auto"/>
        <w:rPr>
          <w:rFonts w:ascii="Arial" w:hAnsi="Arial" w:cs="Arial"/>
          <w:szCs w:val="18"/>
          <w:lang w:val="en-US"/>
        </w:rPr>
      </w:pPr>
      <w:r>
        <w:rPr>
          <w:rFonts w:ascii="Arial" w:hAnsi="Arial" w:cs="Arial"/>
          <w:szCs w:val="18"/>
          <w:lang w:val="en-US"/>
        </w:rPr>
        <w:t xml:space="preserve">Classroom-based </w:t>
      </w:r>
      <w:r w:rsidR="002F3CE3">
        <w:rPr>
          <w:rFonts w:ascii="Arial" w:hAnsi="Arial" w:cs="Arial"/>
          <w:szCs w:val="18"/>
          <w:lang w:val="en-US"/>
        </w:rPr>
        <w:t>Treasury Operations</w:t>
      </w:r>
      <w:r w:rsidRPr="00D110BC">
        <w:rPr>
          <w:rFonts w:ascii="Arial" w:hAnsi="Arial" w:cs="Arial"/>
          <w:szCs w:val="18"/>
          <w:lang w:val="en-US"/>
        </w:rPr>
        <w:t xml:space="preserve"> </w:t>
      </w:r>
      <w:r>
        <w:rPr>
          <w:rFonts w:ascii="Arial" w:hAnsi="Arial" w:cs="Arial"/>
          <w:szCs w:val="18"/>
          <w:lang w:val="en-US"/>
        </w:rPr>
        <w:t>training;</w:t>
      </w:r>
    </w:p>
    <w:p w14:paraId="66EE1D6B" w14:textId="77777777" w:rsidR="00D53F06" w:rsidRDefault="00D53F06"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 xml:space="preserve">E-learning, virtual and/or blended learning; </w:t>
      </w:r>
    </w:p>
    <w:p w14:paraId="34490A45" w14:textId="45CF562C" w:rsidR="00443A83" w:rsidRPr="00C51C3E" w:rsidRDefault="00D53F06" w:rsidP="00C51C3E">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 xml:space="preserve">Supported or unsupported distance-learning; </w:t>
      </w:r>
    </w:p>
    <w:p w14:paraId="57EB87F5" w14:textId="71AE286D" w:rsidR="00D53F06" w:rsidRDefault="002F3CE3"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 xml:space="preserve">Treasury Systems learning; </w:t>
      </w:r>
      <w:r w:rsidR="00D53F06">
        <w:rPr>
          <w:rFonts w:ascii="Arial" w:hAnsi="Arial" w:cs="Arial"/>
          <w:szCs w:val="18"/>
          <w:lang w:val="en-US"/>
        </w:rPr>
        <w:t>and</w:t>
      </w:r>
    </w:p>
    <w:p w14:paraId="01CBA60A" w14:textId="77777777" w:rsidR="00D53F06" w:rsidRPr="00C72E6C" w:rsidRDefault="00D53F06" w:rsidP="00D53F06">
      <w:pPr>
        <w:pStyle w:val="MediumGrid1-Accent21"/>
        <w:widowControl w:val="0"/>
        <w:numPr>
          <w:ilvl w:val="0"/>
          <w:numId w:val="5"/>
        </w:numPr>
        <w:autoSpaceDE w:val="0"/>
        <w:autoSpaceDN w:val="0"/>
        <w:adjustRightInd w:val="0"/>
        <w:spacing w:line="276" w:lineRule="auto"/>
        <w:ind w:left="1138" w:hanging="432"/>
        <w:rPr>
          <w:rFonts w:ascii="Arial" w:hAnsi="Arial" w:cs="Arial"/>
          <w:szCs w:val="18"/>
          <w:lang w:val="en-US"/>
        </w:rPr>
      </w:pPr>
      <w:r>
        <w:rPr>
          <w:rFonts w:ascii="Arial" w:hAnsi="Arial" w:cs="Arial"/>
        </w:rPr>
        <w:t xml:space="preserve">Seminars, </w:t>
      </w:r>
      <w:proofErr w:type="gramStart"/>
      <w:r>
        <w:rPr>
          <w:rFonts w:ascii="Arial" w:hAnsi="Arial" w:cs="Arial"/>
        </w:rPr>
        <w:t>workshops</w:t>
      </w:r>
      <w:proofErr w:type="gramEnd"/>
      <w:r>
        <w:rPr>
          <w:rFonts w:ascii="Arial" w:hAnsi="Arial" w:cs="Arial"/>
        </w:rPr>
        <w:t xml:space="preserve"> and similar events organised by GBEStB member bodies, employers, training providers and others.</w:t>
      </w:r>
    </w:p>
    <w:p w14:paraId="7CAD6D8D" w14:textId="77777777" w:rsidR="00D53F06" w:rsidRPr="00C72E6C" w:rsidRDefault="00D53F06" w:rsidP="00D53F06">
      <w:pPr>
        <w:pStyle w:val="MediumGrid1-Accent21"/>
        <w:widowControl w:val="0"/>
        <w:autoSpaceDE w:val="0"/>
        <w:autoSpaceDN w:val="0"/>
        <w:adjustRightInd w:val="0"/>
        <w:spacing w:line="276" w:lineRule="auto"/>
        <w:ind w:left="706"/>
        <w:rPr>
          <w:rFonts w:ascii="Arial" w:hAnsi="Arial" w:cs="Arial"/>
          <w:szCs w:val="18"/>
          <w:lang w:val="en-US"/>
        </w:rPr>
      </w:pPr>
    </w:p>
    <w:p w14:paraId="2450A29A" w14:textId="415CF998" w:rsidR="00D53F06" w:rsidRPr="00DF5899" w:rsidRDefault="00D53F06" w:rsidP="00D53F06">
      <w:pPr>
        <w:pStyle w:val="MediumGrid1-Accent21"/>
        <w:widowControl w:val="0"/>
        <w:autoSpaceDE w:val="0"/>
        <w:autoSpaceDN w:val="0"/>
        <w:adjustRightInd w:val="0"/>
        <w:spacing w:after="200" w:line="276" w:lineRule="auto"/>
        <w:ind w:left="0"/>
        <w:rPr>
          <w:rFonts w:ascii="Arial" w:hAnsi="Arial" w:cs="Arial"/>
          <w:i/>
        </w:rPr>
      </w:pPr>
      <w:r>
        <w:rPr>
          <w:rFonts w:ascii="Arial" w:hAnsi="Arial" w:cs="Arial"/>
          <w:i/>
        </w:rPr>
        <w:t xml:space="preserve">In addition, the delivery of </w:t>
      </w:r>
      <w:r w:rsidR="001D1C8B">
        <w:rPr>
          <w:rFonts w:ascii="Arial" w:hAnsi="Arial" w:cs="Arial"/>
          <w:i/>
        </w:rPr>
        <w:t>Treasury Operations</w:t>
      </w:r>
      <w:r w:rsidRPr="00D110BC">
        <w:rPr>
          <w:rFonts w:ascii="Arial" w:hAnsi="Arial" w:cs="Arial"/>
          <w:i/>
        </w:rPr>
        <w:t xml:space="preserve"> </w:t>
      </w:r>
      <w:r>
        <w:rPr>
          <w:rFonts w:ascii="Arial" w:hAnsi="Arial" w:cs="Arial"/>
          <w:i/>
        </w:rPr>
        <w:t>education and training to Professional Bankers may include:</w:t>
      </w:r>
    </w:p>
    <w:p w14:paraId="447AB966" w14:textId="77777777" w:rsidR="00D53F06" w:rsidRPr="00BD1095" w:rsidRDefault="00D53F06"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Discussing</w:t>
      </w:r>
      <w:r w:rsidRPr="008D627B">
        <w:rPr>
          <w:rFonts w:ascii="Arial" w:hAnsi="Arial" w:cs="Arial"/>
          <w:szCs w:val="18"/>
          <w:lang w:val="en-US"/>
        </w:rPr>
        <w:t xml:space="preserve"> case studies</w:t>
      </w:r>
      <w:r>
        <w:rPr>
          <w:rFonts w:ascii="Arial" w:hAnsi="Arial" w:cs="Arial"/>
          <w:szCs w:val="18"/>
          <w:lang w:val="en-US"/>
        </w:rPr>
        <w:t xml:space="preserve"> and similar materials, either in classroom/online or via employer-led study groups;</w:t>
      </w:r>
    </w:p>
    <w:p w14:paraId="5CECC600" w14:textId="3B85D565" w:rsidR="00B36226" w:rsidRDefault="00B36226" w:rsidP="00B36226">
      <w:pPr>
        <w:pStyle w:val="MediumGrid1-Accent21"/>
        <w:widowControl w:val="0"/>
        <w:autoSpaceDE w:val="0"/>
        <w:autoSpaceDN w:val="0"/>
        <w:adjustRightInd w:val="0"/>
        <w:spacing w:after="60" w:line="276" w:lineRule="auto"/>
        <w:ind w:left="709"/>
        <w:jc w:val="right"/>
        <w:rPr>
          <w:rFonts w:ascii="Arial" w:hAnsi="Arial" w:cs="Arial"/>
          <w:szCs w:val="18"/>
          <w:lang w:val="en-US"/>
        </w:rPr>
      </w:pPr>
      <w:r w:rsidRPr="00F238E1">
        <w:rPr>
          <w:rFonts w:cstheme="minorHAnsi"/>
          <w:noProof/>
          <w:sz w:val="24"/>
          <w:szCs w:val="24"/>
          <w:lang w:val="en-IN" w:eastAsia="en-IN"/>
        </w:rPr>
        <w:lastRenderedPageBreak/>
        <w:drawing>
          <wp:inline distT="0" distB="0" distL="0" distR="0" wp14:anchorId="1858555E" wp14:editId="0FCFAA2E">
            <wp:extent cx="1714500" cy="607930"/>
            <wp:effectExtent l="0" t="0" r="0" b="1905"/>
            <wp:docPr id="11" name="Picture 11"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3310393A" w14:textId="681C2EA5" w:rsidR="008A3026" w:rsidRPr="00B36226" w:rsidRDefault="00D53F06" w:rsidP="00B3622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 xml:space="preserve">Participating </w:t>
      </w:r>
      <w:r w:rsidRPr="008D627B">
        <w:rPr>
          <w:rFonts w:ascii="Arial" w:hAnsi="Arial" w:cs="Arial"/>
          <w:szCs w:val="18"/>
          <w:lang w:val="en-US"/>
        </w:rPr>
        <w:t>in role</w:t>
      </w:r>
      <w:r>
        <w:rPr>
          <w:rFonts w:ascii="Arial" w:hAnsi="Arial" w:cs="Arial"/>
          <w:szCs w:val="18"/>
          <w:lang w:val="en-US"/>
        </w:rPr>
        <w:t>-</w:t>
      </w:r>
      <w:r w:rsidRPr="008D627B">
        <w:rPr>
          <w:rFonts w:ascii="Arial" w:hAnsi="Arial" w:cs="Arial"/>
          <w:szCs w:val="18"/>
          <w:lang w:val="en-US"/>
        </w:rPr>
        <w:t xml:space="preserve">plays or simulations where different </w:t>
      </w:r>
      <w:r w:rsidR="001D1C8B">
        <w:rPr>
          <w:rFonts w:ascii="Arial" w:hAnsi="Arial" w:cs="Arial"/>
          <w:szCs w:val="18"/>
          <w:lang w:val="en-US"/>
        </w:rPr>
        <w:t>Treasury</w:t>
      </w:r>
      <w:r w:rsidRPr="00D110BC">
        <w:rPr>
          <w:rFonts w:ascii="Arial" w:hAnsi="Arial" w:cs="Arial"/>
          <w:szCs w:val="18"/>
          <w:lang w:val="en-US"/>
        </w:rPr>
        <w:t xml:space="preserve"> </w:t>
      </w:r>
      <w:r w:rsidR="001D1C8B">
        <w:rPr>
          <w:rFonts w:ascii="Arial" w:hAnsi="Arial" w:cs="Arial"/>
          <w:szCs w:val="18"/>
          <w:lang w:val="en-US"/>
        </w:rPr>
        <w:t>Operations related</w:t>
      </w:r>
      <w:r w:rsidRPr="00D110BC">
        <w:rPr>
          <w:rFonts w:ascii="Arial" w:hAnsi="Arial" w:cs="Arial"/>
          <w:szCs w:val="18"/>
          <w:lang w:val="en-US"/>
        </w:rPr>
        <w:t xml:space="preserve"> </w:t>
      </w:r>
      <w:r w:rsidRPr="008D627B">
        <w:rPr>
          <w:rFonts w:ascii="Arial" w:hAnsi="Arial" w:cs="Arial"/>
          <w:szCs w:val="18"/>
          <w:lang w:val="en-US"/>
        </w:rPr>
        <w:t>decisions lead to different outcomes</w:t>
      </w:r>
      <w:r w:rsidR="001D1C8B">
        <w:rPr>
          <w:rFonts w:ascii="Arial" w:hAnsi="Arial" w:cs="Arial"/>
          <w:szCs w:val="18"/>
          <w:lang w:val="en-US"/>
        </w:rPr>
        <w:t xml:space="preserve"> for organiz</w:t>
      </w:r>
      <w:r w:rsidRPr="00D110BC">
        <w:rPr>
          <w:rFonts w:ascii="Arial" w:hAnsi="Arial" w:cs="Arial"/>
          <w:szCs w:val="18"/>
          <w:lang w:val="en-US"/>
        </w:rPr>
        <w:t>ations and individuals;</w:t>
      </w:r>
    </w:p>
    <w:p w14:paraId="261D06E5" w14:textId="77777777" w:rsidR="0075219B" w:rsidRDefault="0075219B" w:rsidP="0075219B">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D</w:t>
      </w:r>
      <w:r w:rsidRPr="008D627B">
        <w:rPr>
          <w:rFonts w:ascii="Arial" w:hAnsi="Arial" w:cs="Arial"/>
          <w:szCs w:val="18"/>
          <w:lang w:val="en-US"/>
        </w:rPr>
        <w:t xml:space="preserve">iscussing real-life </w:t>
      </w:r>
      <w:r>
        <w:rPr>
          <w:rFonts w:ascii="Arial" w:hAnsi="Arial" w:cs="Arial"/>
          <w:szCs w:val="18"/>
          <w:lang w:val="en-US"/>
        </w:rPr>
        <w:t>Treasury</w:t>
      </w:r>
      <w:r w:rsidRPr="00D110BC">
        <w:rPr>
          <w:rFonts w:ascii="Arial" w:hAnsi="Arial" w:cs="Arial"/>
          <w:szCs w:val="18"/>
          <w:lang w:val="en-US"/>
        </w:rPr>
        <w:t xml:space="preserve"> risk</w:t>
      </w:r>
      <w:r>
        <w:rPr>
          <w:rFonts w:ascii="Arial" w:hAnsi="Arial" w:cs="Arial"/>
          <w:szCs w:val="18"/>
          <w:lang w:val="en-US"/>
        </w:rPr>
        <w:t>s</w:t>
      </w:r>
      <w:r w:rsidRPr="00D110BC">
        <w:rPr>
          <w:rFonts w:ascii="Arial" w:hAnsi="Arial" w:cs="Arial"/>
          <w:szCs w:val="18"/>
          <w:lang w:val="en-US"/>
        </w:rPr>
        <w:t xml:space="preserve"> and </w:t>
      </w:r>
      <w:r>
        <w:rPr>
          <w:rFonts w:ascii="Arial" w:hAnsi="Arial" w:cs="Arial"/>
          <w:szCs w:val="18"/>
          <w:lang w:val="en-US"/>
        </w:rPr>
        <w:t>operational</w:t>
      </w:r>
      <w:r w:rsidRPr="00D110BC">
        <w:rPr>
          <w:rFonts w:ascii="Arial" w:hAnsi="Arial" w:cs="Arial"/>
          <w:szCs w:val="18"/>
          <w:lang w:val="en-US"/>
        </w:rPr>
        <w:t xml:space="preserve"> </w:t>
      </w:r>
      <w:r w:rsidRPr="008D627B">
        <w:rPr>
          <w:rFonts w:ascii="Arial" w:hAnsi="Arial" w:cs="Arial"/>
          <w:szCs w:val="18"/>
          <w:lang w:val="en-US"/>
        </w:rPr>
        <w:t xml:space="preserve">dilemmas and conflicts of interest with </w:t>
      </w:r>
      <w:r>
        <w:rPr>
          <w:rFonts w:ascii="Arial" w:hAnsi="Arial" w:cs="Arial"/>
          <w:szCs w:val="18"/>
          <w:lang w:val="en-US"/>
        </w:rPr>
        <w:t xml:space="preserve">professional colleagues </w:t>
      </w:r>
      <w:r w:rsidRPr="008D627B">
        <w:rPr>
          <w:rFonts w:ascii="Arial" w:hAnsi="Arial" w:cs="Arial"/>
          <w:szCs w:val="18"/>
          <w:lang w:val="en-US"/>
        </w:rPr>
        <w:t>and others</w:t>
      </w:r>
      <w:r>
        <w:rPr>
          <w:rFonts w:ascii="Arial" w:hAnsi="Arial" w:cs="Arial"/>
          <w:szCs w:val="18"/>
          <w:lang w:val="en-US"/>
        </w:rPr>
        <w:t>;</w:t>
      </w:r>
    </w:p>
    <w:p w14:paraId="36170398" w14:textId="06634482" w:rsidR="00D53F06" w:rsidRDefault="00D53F06"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U</w:t>
      </w:r>
      <w:r w:rsidRPr="008D627B">
        <w:rPr>
          <w:rFonts w:ascii="Arial" w:hAnsi="Arial" w:cs="Arial"/>
          <w:szCs w:val="18"/>
          <w:lang w:val="en-US"/>
        </w:rPr>
        <w:t>sing decision-making models</w:t>
      </w:r>
      <w:r w:rsidR="001D1C8B">
        <w:rPr>
          <w:rFonts w:ascii="Arial" w:hAnsi="Arial" w:cs="Arial"/>
          <w:szCs w:val="18"/>
          <w:lang w:val="en-US"/>
        </w:rPr>
        <w:t xml:space="preserve"> related to Treasury Operations</w:t>
      </w:r>
      <w:r w:rsidRPr="008D627B">
        <w:rPr>
          <w:rFonts w:ascii="Arial" w:hAnsi="Arial" w:cs="Arial"/>
          <w:szCs w:val="18"/>
          <w:lang w:val="en-US"/>
        </w:rPr>
        <w:t xml:space="preserve"> to analyze real</w:t>
      </w:r>
      <w:r>
        <w:rPr>
          <w:rFonts w:ascii="Arial" w:hAnsi="Arial" w:cs="Arial"/>
          <w:szCs w:val="18"/>
          <w:lang w:val="en-US"/>
        </w:rPr>
        <w:t>-life</w:t>
      </w:r>
      <w:r w:rsidRPr="008D627B">
        <w:rPr>
          <w:rFonts w:ascii="Arial" w:hAnsi="Arial" w:cs="Arial"/>
          <w:szCs w:val="18"/>
          <w:lang w:val="en-US"/>
        </w:rPr>
        <w:t xml:space="preserve"> dilemmas arising in the workplace;</w:t>
      </w:r>
    </w:p>
    <w:p w14:paraId="5E54EE49" w14:textId="7317BC49" w:rsidR="007F0428" w:rsidRPr="00443A83" w:rsidRDefault="00D53F06" w:rsidP="00443A83">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S</w:t>
      </w:r>
      <w:r w:rsidRPr="008D627B">
        <w:rPr>
          <w:rFonts w:ascii="Arial" w:hAnsi="Arial" w:cs="Arial"/>
          <w:szCs w:val="18"/>
          <w:lang w:val="en-US"/>
        </w:rPr>
        <w:t xml:space="preserve">tudying and discussing </w:t>
      </w:r>
      <w:r w:rsidR="001D1C8B">
        <w:rPr>
          <w:rFonts w:ascii="Arial" w:hAnsi="Arial" w:cs="Arial"/>
          <w:szCs w:val="18"/>
          <w:lang w:val="en-US"/>
        </w:rPr>
        <w:t>Treasury</w:t>
      </w:r>
      <w:r w:rsidR="00561C7F">
        <w:rPr>
          <w:rFonts w:ascii="Arial" w:hAnsi="Arial" w:cs="Arial"/>
          <w:szCs w:val="18"/>
          <w:lang w:val="en-US"/>
        </w:rPr>
        <w:t xml:space="preserve"> </w:t>
      </w:r>
      <w:r>
        <w:rPr>
          <w:rFonts w:ascii="Arial" w:hAnsi="Arial" w:cs="Arial"/>
          <w:szCs w:val="18"/>
          <w:lang w:val="en-US"/>
        </w:rPr>
        <w:t>risk events</w:t>
      </w:r>
      <w:r w:rsidRPr="008D627B">
        <w:rPr>
          <w:rFonts w:ascii="Arial" w:hAnsi="Arial" w:cs="Arial"/>
          <w:szCs w:val="18"/>
          <w:lang w:val="en-US"/>
        </w:rPr>
        <w:t xml:space="preserve"> from other </w:t>
      </w:r>
      <w:r>
        <w:rPr>
          <w:rFonts w:ascii="Arial" w:hAnsi="Arial" w:cs="Arial"/>
          <w:szCs w:val="18"/>
          <w:lang w:val="en-US"/>
        </w:rPr>
        <w:t xml:space="preserve">financial institutions and other </w:t>
      </w:r>
      <w:r w:rsidRPr="008D627B">
        <w:rPr>
          <w:rFonts w:ascii="Arial" w:hAnsi="Arial" w:cs="Arial"/>
          <w:szCs w:val="18"/>
          <w:lang w:val="en-US"/>
        </w:rPr>
        <w:t>industries</w:t>
      </w:r>
      <w:r>
        <w:rPr>
          <w:rFonts w:ascii="Arial" w:hAnsi="Arial" w:cs="Arial"/>
          <w:szCs w:val="18"/>
          <w:lang w:val="en-US"/>
        </w:rPr>
        <w:t>;</w:t>
      </w:r>
    </w:p>
    <w:p w14:paraId="74AA580C" w14:textId="4C2FBC3B" w:rsidR="00D53F06" w:rsidRPr="00EB6BE4" w:rsidRDefault="00D53F06"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C</w:t>
      </w:r>
      <w:r w:rsidRPr="008D627B">
        <w:rPr>
          <w:rFonts w:ascii="Arial" w:hAnsi="Arial" w:cs="Arial"/>
          <w:szCs w:val="18"/>
          <w:lang w:val="en-US"/>
        </w:rPr>
        <w:t>oaching and mentoring;</w:t>
      </w:r>
      <w:r>
        <w:rPr>
          <w:rFonts w:ascii="Arial" w:hAnsi="Arial" w:cs="Arial"/>
          <w:szCs w:val="18"/>
          <w:lang w:val="en-US"/>
        </w:rPr>
        <w:t xml:space="preserve"> and</w:t>
      </w:r>
    </w:p>
    <w:p w14:paraId="4600BD38" w14:textId="22B23E54" w:rsidR="00D53F06" w:rsidRDefault="00D53F06" w:rsidP="00D53F06">
      <w:pPr>
        <w:pStyle w:val="MediumGrid1-Accent21"/>
        <w:widowControl w:val="0"/>
        <w:numPr>
          <w:ilvl w:val="0"/>
          <w:numId w:val="5"/>
        </w:numPr>
        <w:autoSpaceDE w:val="0"/>
        <w:autoSpaceDN w:val="0"/>
        <w:adjustRightInd w:val="0"/>
        <w:spacing w:after="60" w:line="276" w:lineRule="auto"/>
        <w:ind w:left="1134" w:hanging="425"/>
        <w:rPr>
          <w:rFonts w:ascii="Arial" w:hAnsi="Arial" w:cs="Arial"/>
          <w:szCs w:val="18"/>
          <w:lang w:val="en-US"/>
        </w:rPr>
      </w:pPr>
      <w:r>
        <w:rPr>
          <w:rFonts w:ascii="Arial" w:hAnsi="Arial" w:cs="Arial"/>
          <w:szCs w:val="18"/>
          <w:lang w:val="en-US"/>
        </w:rPr>
        <w:t>S</w:t>
      </w:r>
      <w:r w:rsidRPr="008D627B">
        <w:rPr>
          <w:rFonts w:ascii="Arial" w:hAnsi="Arial" w:cs="Arial"/>
          <w:szCs w:val="18"/>
          <w:lang w:val="en-US"/>
        </w:rPr>
        <w:t>elf-reflection on person</w:t>
      </w:r>
      <w:r>
        <w:rPr>
          <w:rFonts w:ascii="Arial" w:hAnsi="Arial" w:cs="Arial"/>
          <w:szCs w:val="18"/>
          <w:lang w:val="en-US"/>
        </w:rPr>
        <w:t xml:space="preserve">al and professional experiences where </w:t>
      </w:r>
      <w:r w:rsidR="001D1C8B">
        <w:rPr>
          <w:rFonts w:ascii="Arial" w:hAnsi="Arial" w:cs="Arial"/>
          <w:szCs w:val="18"/>
          <w:lang w:val="en-US"/>
        </w:rPr>
        <w:t>Treasury operations-related risks</w:t>
      </w:r>
      <w:r>
        <w:rPr>
          <w:rFonts w:ascii="Arial" w:hAnsi="Arial" w:cs="Arial"/>
          <w:szCs w:val="18"/>
          <w:lang w:val="en-US"/>
        </w:rPr>
        <w:t xml:space="preserve"> and conflicts of interest have occurred.</w:t>
      </w:r>
    </w:p>
    <w:p w14:paraId="2567E6BC" w14:textId="77777777" w:rsidR="00D53F06" w:rsidRPr="00EB6BE4" w:rsidRDefault="00D53F06" w:rsidP="00D53F06">
      <w:pPr>
        <w:pStyle w:val="MediumGrid1-Accent21"/>
        <w:widowControl w:val="0"/>
        <w:autoSpaceDE w:val="0"/>
        <w:autoSpaceDN w:val="0"/>
        <w:adjustRightInd w:val="0"/>
        <w:spacing w:after="60" w:line="276" w:lineRule="auto"/>
        <w:ind w:left="1134"/>
        <w:rPr>
          <w:rFonts w:ascii="Arial" w:hAnsi="Arial" w:cs="Arial"/>
          <w:szCs w:val="18"/>
          <w:lang w:val="en-US"/>
        </w:rPr>
      </w:pPr>
    </w:p>
    <w:p w14:paraId="1E0B8886" w14:textId="0F65DC10" w:rsidR="00D53F06" w:rsidRDefault="00D53F06" w:rsidP="00D53F06">
      <w:pPr>
        <w:spacing w:after="180"/>
        <w:ind w:left="284" w:hanging="284"/>
        <w:jc w:val="both"/>
        <w:rPr>
          <w:rFonts w:ascii="Arial" w:hAnsi="Arial" w:cs="Arial"/>
          <w:b/>
        </w:rPr>
      </w:pPr>
      <w:r>
        <w:rPr>
          <w:rFonts w:ascii="Arial" w:hAnsi="Arial" w:cs="Arial"/>
          <w:b/>
        </w:rPr>
        <w:t>7.</w:t>
      </w:r>
      <w:r>
        <w:rPr>
          <w:rFonts w:ascii="Arial" w:hAnsi="Arial" w:cs="Arial"/>
          <w:b/>
        </w:rPr>
        <w:tab/>
      </w:r>
      <w:proofErr w:type="spellStart"/>
      <w:r w:rsidRPr="005A2A88">
        <w:rPr>
          <w:rFonts w:ascii="Arial" w:hAnsi="Arial" w:cs="Arial"/>
          <w:b/>
        </w:rPr>
        <w:t>GBEStB</w:t>
      </w:r>
      <w:proofErr w:type="spellEnd"/>
      <w:r w:rsidRPr="005A2A88">
        <w:rPr>
          <w:rFonts w:ascii="Arial" w:hAnsi="Arial" w:cs="Arial"/>
          <w:b/>
        </w:rPr>
        <w:t xml:space="preserve"> member bodies </w:t>
      </w:r>
      <w:r>
        <w:rPr>
          <w:rFonts w:ascii="Arial" w:hAnsi="Arial" w:cs="Arial"/>
          <w:b/>
        </w:rPr>
        <w:t>shall</w:t>
      </w:r>
      <w:r w:rsidRPr="005A2A88">
        <w:rPr>
          <w:rFonts w:ascii="Arial" w:hAnsi="Arial" w:cs="Arial"/>
          <w:b/>
        </w:rPr>
        <w:t xml:space="preserve"> </w:t>
      </w:r>
      <w:r>
        <w:rPr>
          <w:rFonts w:ascii="Arial" w:hAnsi="Arial" w:cs="Arial"/>
          <w:b/>
        </w:rPr>
        <w:t xml:space="preserve">establish suitable quality assurance mechanisms to ensure that </w:t>
      </w:r>
      <w:r w:rsidR="005A56BE">
        <w:rPr>
          <w:rFonts w:ascii="Arial" w:hAnsi="Arial" w:cs="Arial"/>
          <w:b/>
        </w:rPr>
        <w:t>Treasury Operations</w:t>
      </w:r>
      <w:r w:rsidRPr="00D805D8">
        <w:rPr>
          <w:rFonts w:ascii="Arial" w:hAnsi="Arial" w:cs="Arial"/>
          <w:b/>
        </w:rPr>
        <w:t xml:space="preserve"> </w:t>
      </w:r>
      <w:r>
        <w:rPr>
          <w:rFonts w:ascii="Arial" w:hAnsi="Arial" w:cs="Arial"/>
          <w:b/>
        </w:rPr>
        <w:t>education and training programmes achieve the objective of helping Professional Bankers develop and demonstrate an understanding of the key topics set out above.</w:t>
      </w:r>
    </w:p>
    <w:p w14:paraId="3B81486F" w14:textId="23B6013D" w:rsidR="00D53F06" w:rsidRDefault="00D53F06" w:rsidP="00890B93">
      <w:pPr>
        <w:spacing w:after="180"/>
        <w:ind w:left="284"/>
        <w:jc w:val="both"/>
        <w:rPr>
          <w:rFonts w:ascii="Arial" w:hAnsi="Arial" w:cs="Arial"/>
          <w:i/>
        </w:rPr>
      </w:pPr>
      <w:proofErr w:type="spellStart"/>
      <w:r>
        <w:rPr>
          <w:rFonts w:ascii="Arial" w:hAnsi="Arial" w:cs="Arial"/>
          <w:i/>
        </w:rPr>
        <w:t>GBEStB</w:t>
      </w:r>
      <w:proofErr w:type="spellEnd"/>
      <w:r>
        <w:rPr>
          <w:rFonts w:ascii="Arial" w:hAnsi="Arial" w:cs="Arial"/>
          <w:i/>
        </w:rPr>
        <w:t xml:space="preserve"> member bodies should consider regularly obtaining and acting upon feedback from Professional Bankers undertaking </w:t>
      </w:r>
      <w:r w:rsidR="005A56BE">
        <w:rPr>
          <w:rFonts w:ascii="Arial" w:hAnsi="Arial" w:cs="Arial"/>
          <w:i/>
        </w:rPr>
        <w:t>Treasury Operations</w:t>
      </w:r>
      <w:r w:rsidRPr="00D110BC">
        <w:rPr>
          <w:rFonts w:ascii="Arial" w:hAnsi="Arial" w:cs="Arial"/>
          <w:i/>
        </w:rPr>
        <w:t xml:space="preserve"> </w:t>
      </w:r>
      <w:r>
        <w:rPr>
          <w:rFonts w:ascii="Arial" w:hAnsi="Arial" w:cs="Arial"/>
          <w:i/>
        </w:rPr>
        <w:t>education programmes, their employers and from other interested parties.</w:t>
      </w:r>
    </w:p>
    <w:p w14:paraId="49B1606A" w14:textId="65F17783" w:rsidR="00B002FE" w:rsidRPr="00042B5A" w:rsidRDefault="00D53F06" w:rsidP="00042B5A">
      <w:pPr>
        <w:spacing w:after="180"/>
        <w:ind w:left="284"/>
        <w:jc w:val="both"/>
        <w:rPr>
          <w:rFonts w:ascii="Arial" w:hAnsi="Arial" w:cs="Arial"/>
          <w:i/>
        </w:rPr>
      </w:pPr>
      <w:proofErr w:type="spellStart"/>
      <w:r w:rsidRPr="00EC2BCE">
        <w:rPr>
          <w:rFonts w:ascii="Arial" w:hAnsi="Arial" w:cs="Arial"/>
          <w:i/>
        </w:rPr>
        <w:t>GBEStB</w:t>
      </w:r>
      <w:proofErr w:type="spellEnd"/>
      <w:r w:rsidRPr="00EC2BCE">
        <w:rPr>
          <w:rFonts w:ascii="Arial" w:hAnsi="Arial" w:cs="Arial"/>
          <w:i/>
        </w:rPr>
        <w:t xml:space="preserve"> member bodies </w:t>
      </w:r>
      <w:r>
        <w:rPr>
          <w:rFonts w:ascii="Arial" w:hAnsi="Arial" w:cs="Arial"/>
          <w:i/>
        </w:rPr>
        <w:t>may want to set criteria to</w:t>
      </w:r>
      <w:r w:rsidRPr="00EC2BCE">
        <w:rPr>
          <w:rFonts w:ascii="Arial" w:hAnsi="Arial" w:cs="Arial"/>
          <w:i/>
        </w:rPr>
        <w:t xml:space="preserve"> ensure that </w:t>
      </w:r>
      <w:r w:rsidR="0010558F">
        <w:rPr>
          <w:rFonts w:ascii="Arial" w:hAnsi="Arial" w:cs="Arial"/>
          <w:i/>
        </w:rPr>
        <w:t>Treasury Operations</w:t>
      </w:r>
      <w:r w:rsidR="0010558F" w:rsidRPr="00D110BC">
        <w:rPr>
          <w:rFonts w:ascii="Arial" w:hAnsi="Arial" w:cs="Arial"/>
          <w:i/>
        </w:rPr>
        <w:t xml:space="preserve"> </w:t>
      </w:r>
      <w:r w:rsidRPr="00EC2BCE">
        <w:rPr>
          <w:rFonts w:ascii="Arial" w:hAnsi="Arial" w:cs="Arial"/>
          <w:i/>
        </w:rPr>
        <w:t xml:space="preserve">education and training programmes are delivered by suitably qualified educators and </w:t>
      </w:r>
      <w:r>
        <w:rPr>
          <w:rFonts w:ascii="Arial" w:hAnsi="Arial" w:cs="Arial"/>
          <w:i/>
        </w:rPr>
        <w:t xml:space="preserve">training </w:t>
      </w:r>
      <w:r w:rsidRPr="00EC2BCE">
        <w:rPr>
          <w:rFonts w:ascii="Arial" w:hAnsi="Arial" w:cs="Arial"/>
          <w:i/>
        </w:rPr>
        <w:t>providers</w:t>
      </w:r>
      <w:r>
        <w:rPr>
          <w:rFonts w:ascii="Arial" w:hAnsi="Arial" w:cs="Arial"/>
          <w:i/>
        </w:rPr>
        <w:t xml:space="preserve"> with relevant skills, </w:t>
      </w:r>
      <w:proofErr w:type="gramStart"/>
      <w:r>
        <w:rPr>
          <w:rFonts w:ascii="Arial" w:hAnsi="Arial" w:cs="Arial"/>
          <w:i/>
        </w:rPr>
        <w:t>expertise</w:t>
      </w:r>
      <w:proofErr w:type="gramEnd"/>
      <w:r>
        <w:rPr>
          <w:rFonts w:ascii="Arial" w:hAnsi="Arial" w:cs="Arial"/>
          <w:i/>
        </w:rPr>
        <w:t xml:space="preserve"> and experience.  </w:t>
      </w:r>
    </w:p>
    <w:p w14:paraId="35C6E8DB" w14:textId="0C198288" w:rsidR="00D53F06" w:rsidRPr="005A2A88" w:rsidRDefault="00D53F06" w:rsidP="00D53F06">
      <w:pPr>
        <w:jc w:val="both"/>
        <w:rPr>
          <w:rFonts w:ascii="Arial" w:hAnsi="Arial" w:cs="Arial"/>
          <w:b/>
          <w:sz w:val="24"/>
          <w:szCs w:val="24"/>
        </w:rPr>
      </w:pPr>
      <w:r>
        <w:rPr>
          <w:rFonts w:ascii="Arial" w:hAnsi="Arial" w:cs="Arial"/>
          <w:b/>
          <w:sz w:val="24"/>
          <w:szCs w:val="24"/>
        </w:rPr>
        <w:t xml:space="preserve">ASSESSMENT OF </w:t>
      </w:r>
      <w:r w:rsidR="00B002FE" w:rsidRPr="00B002FE">
        <w:rPr>
          <w:rFonts w:ascii="Arial" w:hAnsi="Arial" w:cs="Arial"/>
          <w:b/>
          <w:sz w:val="24"/>
          <w:szCs w:val="24"/>
        </w:rPr>
        <w:t>TREASURY OPERATIONS</w:t>
      </w:r>
      <w:r w:rsidR="00B002FE">
        <w:rPr>
          <w:rFonts w:ascii="Arial" w:hAnsi="Arial" w:cs="Arial"/>
          <w:i/>
        </w:rPr>
        <w:t xml:space="preserve"> </w:t>
      </w:r>
      <w:r>
        <w:rPr>
          <w:rFonts w:ascii="Arial" w:hAnsi="Arial" w:cs="Arial"/>
          <w:b/>
          <w:sz w:val="24"/>
          <w:szCs w:val="24"/>
        </w:rPr>
        <w:t>EDUCATION AND TRAINING PROGRAMMES</w:t>
      </w:r>
    </w:p>
    <w:p w14:paraId="2ADFEE14" w14:textId="06C3634D" w:rsidR="00D53F06" w:rsidRDefault="00D53F06" w:rsidP="00D53F06">
      <w:pPr>
        <w:spacing w:after="180"/>
        <w:ind w:left="284" w:hanging="284"/>
        <w:jc w:val="both"/>
        <w:rPr>
          <w:rFonts w:ascii="Arial" w:hAnsi="Arial" w:cs="Arial"/>
          <w:b/>
        </w:rPr>
      </w:pPr>
      <w:r>
        <w:rPr>
          <w:rFonts w:ascii="Arial" w:hAnsi="Arial" w:cs="Arial"/>
          <w:b/>
        </w:rPr>
        <w:t>8</w:t>
      </w:r>
      <w:r w:rsidRPr="005A2A88">
        <w:rPr>
          <w:rFonts w:ascii="Arial" w:hAnsi="Arial" w:cs="Arial"/>
          <w:b/>
        </w:rPr>
        <w:t xml:space="preserve">. </w:t>
      </w:r>
      <w:proofErr w:type="spellStart"/>
      <w:r w:rsidRPr="005A2A88">
        <w:rPr>
          <w:rFonts w:ascii="Arial" w:hAnsi="Arial" w:cs="Arial"/>
          <w:b/>
        </w:rPr>
        <w:t>GBEStB</w:t>
      </w:r>
      <w:proofErr w:type="spellEnd"/>
      <w:r w:rsidRPr="005A2A88">
        <w:rPr>
          <w:rFonts w:ascii="Arial" w:hAnsi="Arial" w:cs="Arial"/>
          <w:b/>
        </w:rPr>
        <w:t xml:space="preserve"> member bodies </w:t>
      </w:r>
      <w:r>
        <w:rPr>
          <w:rFonts w:ascii="Arial" w:hAnsi="Arial" w:cs="Arial"/>
          <w:b/>
        </w:rPr>
        <w:t>shall</w:t>
      </w:r>
      <w:r w:rsidRPr="005A2A88">
        <w:rPr>
          <w:rFonts w:ascii="Arial" w:hAnsi="Arial" w:cs="Arial"/>
          <w:b/>
        </w:rPr>
        <w:t xml:space="preserve"> ensure that </w:t>
      </w:r>
      <w:r>
        <w:rPr>
          <w:rFonts w:ascii="Arial" w:hAnsi="Arial" w:cs="Arial"/>
          <w:b/>
        </w:rPr>
        <w:t xml:space="preserve">all Professional Bankers undergoing </w:t>
      </w:r>
      <w:r w:rsidR="002C2EF1" w:rsidRPr="002C2EF1">
        <w:rPr>
          <w:rFonts w:ascii="Arial" w:hAnsi="Arial" w:cs="Arial"/>
          <w:b/>
        </w:rPr>
        <w:t>Treasury Operations</w:t>
      </w:r>
      <w:r w:rsidR="002C2EF1" w:rsidRPr="00D110BC">
        <w:rPr>
          <w:rFonts w:ascii="Arial" w:hAnsi="Arial" w:cs="Arial"/>
          <w:i/>
        </w:rPr>
        <w:t xml:space="preserve"> </w:t>
      </w:r>
      <w:r>
        <w:rPr>
          <w:rFonts w:ascii="Arial" w:hAnsi="Arial" w:cs="Arial"/>
          <w:b/>
        </w:rPr>
        <w:t>education and training programmes are assessed, at least at an early stage in their career, in order to demonstrate an understanding of the key topics set out above.</w:t>
      </w:r>
    </w:p>
    <w:p w14:paraId="4FDC8BC7" w14:textId="208B4ADB" w:rsidR="00072FB4" w:rsidRDefault="00D53F06" w:rsidP="007E5168">
      <w:pPr>
        <w:spacing w:after="180"/>
        <w:ind w:left="284"/>
        <w:jc w:val="both"/>
        <w:rPr>
          <w:rFonts w:ascii="Arial" w:hAnsi="Arial" w:cs="Arial"/>
          <w:i/>
        </w:rPr>
      </w:pPr>
      <w:proofErr w:type="spellStart"/>
      <w:r>
        <w:rPr>
          <w:rFonts w:ascii="Arial" w:hAnsi="Arial" w:cs="Arial"/>
          <w:i/>
        </w:rPr>
        <w:t>GBEStB</w:t>
      </w:r>
      <w:proofErr w:type="spellEnd"/>
      <w:r>
        <w:rPr>
          <w:rFonts w:ascii="Arial" w:hAnsi="Arial" w:cs="Arial"/>
          <w:i/>
        </w:rPr>
        <w:t xml:space="preserve"> member bodies should consider and apply appropriate forms of formative and summative assessment which may include some or </w:t>
      </w:r>
      <w:proofErr w:type="gramStart"/>
      <w:r>
        <w:rPr>
          <w:rFonts w:ascii="Arial" w:hAnsi="Arial" w:cs="Arial"/>
          <w:i/>
        </w:rPr>
        <w:t>all of</w:t>
      </w:r>
      <w:proofErr w:type="gramEnd"/>
      <w:r>
        <w:rPr>
          <w:rFonts w:ascii="Arial" w:hAnsi="Arial" w:cs="Arial"/>
          <w:i/>
        </w:rPr>
        <w:t>:</w:t>
      </w:r>
    </w:p>
    <w:p w14:paraId="57EF97B9" w14:textId="21A83922"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 xml:space="preserve">Objective testing (although this may not be suitable for assessing all aspects of </w:t>
      </w:r>
      <w:r w:rsidR="00B856FF">
        <w:rPr>
          <w:rFonts w:ascii="Arial" w:hAnsi="Arial" w:cs="Arial"/>
          <w:i/>
        </w:rPr>
        <w:t>Treasury Operations</w:t>
      </w:r>
      <w:r>
        <w:rPr>
          <w:rFonts w:ascii="Arial" w:hAnsi="Arial" w:cs="Arial"/>
          <w:i/>
        </w:rPr>
        <w:t xml:space="preserve"> education);</w:t>
      </w:r>
    </w:p>
    <w:p w14:paraId="1D9C6E59" w14:textId="77777777"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Traditional “long-answer” examinations;</w:t>
      </w:r>
    </w:p>
    <w:p w14:paraId="15421384" w14:textId="77777777"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Reflective essays and journals;</w:t>
      </w:r>
    </w:p>
    <w:p w14:paraId="22F377DC" w14:textId="77777777"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Work-based projects and assignments;</w:t>
      </w:r>
    </w:p>
    <w:p w14:paraId="714A02A5" w14:textId="77777777"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Facilitated and assessed group discussions, and other groupwork;</w:t>
      </w:r>
    </w:p>
    <w:p w14:paraId="3F5457F9" w14:textId="77777777" w:rsidR="00D53F06" w:rsidRDefault="00D53F06" w:rsidP="00D53F06">
      <w:pPr>
        <w:numPr>
          <w:ilvl w:val="0"/>
          <w:numId w:val="6"/>
        </w:numPr>
        <w:spacing w:after="60" w:line="276" w:lineRule="auto"/>
        <w:ind w:left="1060" w:hanging="357"/>
        <w:jc w:val="both"/>
        <w:rPr>
          <w:rFonts w:ascii="Arial" w:hAnsi="Arial" w:cs="Arial"/>
          <w:i/>
        </w:rPr>
      </w:pPr>
      <w:r>
        <w:rPr>
          <w:rFonts w:ascii="Arial" w:hAnsi="Arial" w:cs="Arial"/>
          <w:i/>
        </w:rPr>
        <w:t>Case studies (either completed individually, or as a group).</w:t>
      </w:r>
    </w:p>
    <w:p w14:paraId="21BFB1D1" w14:textId="77777777" w:rsidR="00D53F06" w:rsidRDefault="00D53F06" w:rsidP="00D53F06">
      <w:pPr>
        <w:spacing w:after="0"/>
        <w:ind w:left="284"/>
        <w:jc w:val="both"/>
        <w:rPr>
          <w:rFonts w:ascii="Arial" w:hAnsi="Arial" w:cs="Arial"/>
          <w:i/>
        </w:rPr>
      </w:pPr>
    </w:p>
    <w:p w14:paraId="0A43A70B" w14:textId="0DEDFDFD" w:rsidR="001F1D27" w:rsidRDefault="001F1D27" w:rsidP="001F1D27">
      <w:pPr>
        <w:spacing w:after="180"/>
        <w:ind w:left="284"/>
        <w:jc w:val="right"/>
        <w:rPr>
          <w:rFonts w:ascii="Arial" w:hAnsi="Arial" w:cs="Arial"/>
          <w:i/>
        </w:rPr>
      </w:pPr>
      <w:r w:rsidRPr="00F238E1">
        <w:rPr>
          <w:rFonts w:cstheme="minorHAnsi"/>
          <w:noProof/>
          <w:sz w:val="24"/>
          <w:szCs w:val="24"/>
          <w:lang w:eastAsia="en-IN"/>
        </w:rPr>
        <w:lastRenderedPageBreak/>
        <w:drawing>
          <wp:inline distT="0" distB="0" distL="0" distR="0" wp14:anchorId="7E359B83" wp14:editId="699BF12A">
            <wp:extent cx="1714500" cy="607930"/>
            <wp:effectExtent l="0" t="0" r="0" b="1905"/>
            <wp:docPr id="12" name="Picture 12" descr="Image result for gb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bes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372" cy="622423"/>
                    </a:xfrm>
                    <a:prstGeom prst="rect">
                      <a:avLst/>
                    </a:prstGeom>
                    <a:noFill/>
                    <a:ln>
                      <a:noFill/>
                    </a:ln>
                  </pic:spPr>
                </pic:pic>
              </a:graphicData>
            </a:graphic>
          </wp:inline>
        </w:drawing>
      </w:r>
    </w:p>
    <w:p w14:paraId="210A86C5" w14:textId="3CDF3A6E" w:rsidR="003538CD" w:rsidRDefault="00D53F06" w:rsidP="001F1D27">
      <w:pPr>
        <w:spacing w:after="180"/>
        <w:ind w:left="284"/>
        <w:jc w:val="both"/>
        <w:rPr>
          <w:rFonts w:ascii="Arial" w:hAnsi="Arial" w:cs="Arial"/>
          <w:b/>
          <w:sz w:val="24"/>
          <w:szCs w:val="24"/>
        </w:rPr>
      </w:pPr>
      <w:proofErr w:type="spellStart"/>
      <w:r>
        <w:rPr>
          <w:rFonts w:ascii="Arial" w:hAnsi="Arial" w:cs="Arial"/>
          <w:i/>
        </w:rPr>
        <w:t>GBEStB</w:t>
      </w:r>
      <w:proofErr w:type="spellEnd"/>
      <w:r>
        <w:rPr>
          <w:rFonts w:ascii="Arial" w:hAnsi="Arial" w:cs="Arial"/>
          <w:i/>
        </w:rPr>
        <w:t xml:space="preserve"> member bodies may consider regular assessment of </w:t>
      </w:r>
      <w:r w:rsidR="00B856FF">
        <w:rPr>
          <w:rFonts w:ascii="Arial" w:hAnsi="Arial" w:cs="Arial"/>
          <w:i/>
        </w:rPr>
        <w:t>Treasury Operations</w:t>
      </w:r>
      <w:r>
        <w:rPr>
          <w:rFonts w:ascii="Arial" w:hAnsi="Arial" w:cs="Arial"/>
          <w:i/>
        </w:rPr>
        <w:t xml:space="preserve"> education and training for Professional Bankers (</w:t>
      </w:r>
      <w:proofErr w:type="gramStart"/>
      <w:r>
        <w:rPr>
          <w:rFonts w:ascii="Arial" w:hAnsi="Arial" w:cs="Arial"/>
          <w:i/>
        </w:rPr>
        <w:t>e.g.</w:t>
      </w:r>
      <w:proofErr w:type="gramEnd"/>
      <w:r>
        <w:rPr>
          <w:rFonts w:ascii="Arial" w:hAnsi="Arial" w:cs="Arial"/>
          <w:i/>
        </w:rPr>
        <w:t xml:space="preserve"> annually) as part of CPD or other recommendations or regular training programmes</w:t>
      </w:r>
    </w:p>
    <w:p w14:paraId="1A4005FA" w14:textId="5C00AD70" w:rsidR="00D53F06" w:rsidRPr="00C337D7" w:rsidRDefault="00D53F06" w:rsidP="00D53F06">
      <w:pPr>
        <w:rPr>
          <w:rFonts w:ascii="Arial" w:hAnsi="Arial" w:cs="Arial"/>
          <w:b/>
          <w:sz w:val="24"/>
          <w:szCs w:val="24"/>
        </w:rPr>
      </w:pPr>
      <w:r>
        <w:rPr>
          <w:rFonts w:ascii="Arial" w:hAnsi="Arial" w:cs="Arial"/>
          <w:b/>
          <w:sz w:val="24"/>
          <w:szCs w:val="24"/>
        </w:rPr>
        <w:t>IMPACT MEASUREMENT</w:t>
      </w:r>
    </w:p>
    <w:p w14:paraId="083B2FF5" w14:textId="04FE6001" w:rsidR="001964F3" w:rsidRPr="004F2A2B" w:rsidRDefault="00D53F06" w:rsidP="004F2A2B">
      <w:pPr>
        <w:ind w:left="426" w:hanging="426"/>
        <w:jc w:val="both"/>
        <w:rPr>
          <w:rFonts w:ascii="Arial" w:hAnsi="Arial" w:cs="Arial"/>
          <w:b/>
        </w:rPr>
      </w:pPr>
      <w:r>
        <w:rPr>
          <w:rFonts w:ascii="Arial" w:hAnsi="Arial" w:cs="Arial"/>
          <w:b/>
        </w:rPr>
        <w:t>9</w:t>
      </w:r>
      <w:r w:rsidRPr="00CF4475">
        <w:rPr>
          <w:rFonts w:ascii="Arial" w:hAnsi="Arial" w:cs="Arial"/>
          <w:b/>
        </w:rPr>
        <w:t xml:space="preserve">. </w:t>
      </w:r>
      <w:r>
        <w:rPr>
          <w:rFonts w:ascii="Arial" w:hAnsi="Arial" w:cs="Arial"/>
          <w:b/>
        </w:rPr>
        <w:tab/>
      </w:r>
      <w:proofErr w:type="spellStart"/>
      <w:r w:rsidRPr="00CF4475">
        <w:rPr>
          <w:rFonts w:ascii="Arial" w:hAnsi="Arial" w:cs="Arial"/>
          <w:b/>
        </w:rPr>
        <w:t>GBEStB</w:t>
      </w:r>
      <w:proofErr w:type="spellEnd"/>
      <w:r w:rsidRPr="00CF4475">
        <w:rPr>
          <w:rFonts w:ascii="Arial" w:hAnsi="Arial" w:cs="Arial"/>
          <w:b/>
        </w:rPr>
        <w:t xml:space="preserve"> member bodies</w:t>
      </w:r>
      <w:r w:rsidRPr="00CF4475">
        <w:rPr>
          <w:rFonts w:ascii="Arial" w:hAnsi="Arial" w:cs="Arial"/>
          <w:b/>
          <w:i/>
        </w:rPr>
        <w:t xml:space="preserve"> </w:t>
      </w:r>
      <w:r>
        <w:rPr>
          <w:rFonts w:ascii="Arial" w:hAnsi="Arial" w:cs="Arial"/>
          <w:b/>
        </w:rPr>
        <w:t>shall</w:t>
      </w:r>
      <w:r w:rsidRPr="00CF4475">
        <w:rPr>
          <w:rFonts w:ascii="Arial" w:hAnsi="Arial" w:cs="Arial"/>
          <w:b/>
        </w:rPr>
        <w:t xml:space="preserve"> develop </w:t>
      </w:r>
      <w:r>
        <w:rPr>
          <w:rFonts w:ascii="Arial" w:hAnsi="Arial" w:cs="Arial"/>
          <w:b/>
        </w:rPr>
        <w:t>a set of indicators that enable</w:t>
      </w:r>
      <w:r w:rsidRPr="00CF4475">
        <w:rPr>
          <w:rFonts w:ascii="Arial" w:hAnsi="Arial" w:cs="Arial"/>
          <w:b/>
        </w:rPr>
        <w:t xml:space="preserve"> the mo</w:t>
      </w:r>
      <w:r>
        <w:rPr>
          <w:rFonts w:ascii="Arial" w:hAnsi="Arial" w:cs="Arial"/>
          <w:b/>
        </w:rPr>
        <w:t>nitoring of the impact of this S</w:t>
      </w:r>
      <w:r w:rsidRPr="00CF4475">
        <w:rPr>
          <w:rFonts w:ascii="Arial" w:hAnsi="Arial" w:cs="Arial"/>
          <w:b/>
        </w:rPr>
        <w:t xml:space="preserve">tandard across their operations. </w:t>
      </w:r>
      <w:r>
        <w:rPr>
          <w:rFonts w:ascii="Arial" w:hAnsi="Arial" w:cs="Arial"/>
          <w:b/>
        </w:rPr>
        <w:t>This</w:t>
      </w:r>
      <w:r w:rsidRPr="00CF4475">
        <w:rPr>
          <w:rFonts w:ascii="Arial" w:hAnsi="Arial" w:cs="Arial"/>
          <w:b/>
        </w:rPr>
        <w:t xml:space="preserve"> measurement should validate the degree of adherence to the standard and assist the </w:t>
      </w:r>
      <w:proofErr w:type="spellStart"/>
      <w:r w:rsidRPr="00CF4475">
        <w:rPr>
          <w:rFonts w:ascii="Arial" w:hAnsi="Arial" w:cs="Arial"/>
          <w:b/>
        </w:rPr>
        <w:t>GBEStB</w:t>
      </w:r>
      <w:proofErr w:type="spellEnd"/>
      <w:r w:rsidRPr="00CF4475">
        <w:rPr>
          <w:rFonts w:ascii="Arial" w:hAnsi="Arial" w:cs="Arial"/>
          <w:b/>
        </w:rPr>
        <w:t xml:space="preserve"> to identify and address any gaps. </w:t>
      </w:r>
    </w:p>
    <w:p w14:paraId="0A6B39CF" w14:textId="62E8636D" w:rsidR="00D53F06" w:rsidRPr="00CF4475" w:rsidRDefault="00D53F06" w:rsidP="00D53F06">
      <w:pPr>
        <w:ind w:left="426"/>
        <w:jc w:val="both"/>
        <w:rPr>
          <w:rFonts w:ascii="Arial" w:hAnsi="Arial" w:cs="Arial"/>
          <w:i/>
        </w:rPr>
      </w:pPr>
      <w:proofErr w:type="spellStart"/>
      <w:r w:rsidRPr="00CF4475">
        <w:rPr>
          <w:rFonts w:ascii="Arial" w:hAnsi="Arial" w:cs="Arial"/>
          <w:i/>
        </w:rPr>
        <w:t>GBEStB</w:t>
      </w:r>
      <w:proofErr w:type="spellEnd"/>
      <w:r w:rsidRPr="00CF4475">
        <w:rPr>
          <w:rFonts w:ascii="Arial" w:hAnsi="Arial" w:cs="Arial"/>
          <w:i/>
        </w:rPr>
        <w:t xml:space="preserve"> member bodies should use customer or employee satisfaction surveys or other </w:t>
      </w:r>
      <w:r>
        <w:rPr>
          <w:rFonts w:ascii="Arial" w:hAnsi="Arial" w:cs="Arial"/>
          <w:i/>
        </w:rPr>
        <w:t>suitable mechanisms</w:t>
      </w:r>
      <w:r w:rsidRPr="00CF4475">
        <w:rPr>
          <w:rFonts w:ascii="Arial" w:hAnsi="Arial" w:cs="Arial"/>
          <w:i/>
        </w:rPr>
        <w:t xml:space="preserve"> to gather feedback on whether </w:t>
      </w:r>
      <w:r>
        <w:rPr>
          <w:rFonts w:ascii="Arial" w:hAnsi="Arial" w:cs="Arial"/>
          <w:i/>
        </w:rPr>
        <w:t>and how this Standard</w:t>
      </w:r>
      <w:r w:rsidRPr="00CF4475">
        <w:rPr>
          <w:rFonts w:ascii="Arial" w:hAnsi="Arial" w:cs="Arial"/>
          <w:i/>
        </w:rPr>
        <w:t xml:space="preserve"> </w:t>
      </w:r>
      <w:r>
        <w:rPr>
          <w:rFonts w:ascii="Arial" w:hAnsi="Arial" w:cs="Arial"/>
          <w:i/>
        </w:rPr>
        <w:t>is being implemented.</w:t>
      </w:r>
    </w:p>
    <w:p w14:paraId="4E9578B0" w14:textId="6E660FF3" w:rsidR="00D53F06" w:rsidRPr="003E40F7" w:rsidRDefault="00D53F06" w:rsidP="00D53F06">
      <w:pPr>
        <w:rPr>
          <w:rFonts w:ascii="Arial" w:hAnsi="Arial" w:cs="Arial"/>
          <w:b/>
          <w:sz w:val="24"/>
          <w:szCs w:val="24"/>
        </w:rPr>
      </w:pPr>
      <w:r>
        <w:rPr>
          <w:rFonts w:ascii="Arial" w:hAnsi="Arial" w:cs="Arial"/>
          <w:b/>
          <w:sz w:val="24"/>
          <w:szCs w:val="24"/>
        </w:rPr>
        <w:t>PUBLIC DECLARATION</w:t>
      </w:r>
    </w:p>
    <w:p w14:paraId="5743E482" w14:textId="77777777" w:rsidR="00D53F06" w:rsidRPr="003E40F7" w:rsidRDefault="00D53F06" w:rsidP="00D53F06">
      <w:pPr>
        <w:ind w:left="426" w:hanging="426"/>
        <w:jc w:val="both"/>
        <w:rPr>
          <w:rFonts w:ascii="Arial" w:hAnsi="Arial" w:cs="Arial"/>
        </w:rPr>
      </w:pPr>
      <w:r>
        <w:rPr>
          <w:rFonts w:ascii="Arial" w:hAnsi="Arial" w:cs="Arial"/>
          <w:b/>
        </w:rPr>
        <w:t>10</w:t>
      </w:r>
      <w:r w:rsidRPr="003E40F7">
        <w:rPr>
          <w:rFonts w:ascii="Arial" w:hAnsi="Arial" w:cs="Arial"/>
          <w:b/>
        </w:rPr>
        <w:t xml:space="preserve">.  </w:t>
      </w:r>
      <w:proofErr w:type="spellStart"/>
      <w:r w:rsidRPr="003E40F7">
        <w:rPr>
          <w:rFonts w:ascii="Arial" w:hAnsi="Arial" w:cs="Arial"/>
          <w:b/>
        </w:rPr>
        <w:t>GBEStB</w:t>
      </w:r>
      <w:proofErr w:type="spellEnd"/>
      <w:r w:rsidRPr="003E40F7">
        <w:rPr>
          <w:rFonts w:ascii="Arial" w:hAnsi="Arial" w:cs="Arial"/>
          <w:b/>
        </w:rPr>
        <w:t xml:space="preserve"> member bodies shall publicly endorse and, when implemented, declare their alignment with this Standard, identifying and explaining any areas where they have not been able to fully implement the Standard. </w:t>
      </w:r>
    </w:p>
    <w:p w14:paraId="62A230A2" w14:textId="77777777" w:rsidR="00D53F06" w:rsidRPr="003E40F7" w:rsidRDefault="00D53F06" w:rsidP="00D53F06">
      <w:pPr>
        <w:ind w:left="426" w:hanging="426"/>
        <w:jc w:val="both"/>
        <w:rPr>
          <w:rFonts w:ascii="Arial" w:hAnsi="Arial" w:cs="Arial"/>
          <w:i/>
        </w:rPr>
      </w:pPr>
      <w:r w:rsidRPr="003E40F7">
        <w:rPr>
          <w:rFonts w:ascii="Arial" w:hAnsi="Arial" w:cs="Arial"/>
          <w:b/>
        </w:rPr>
        <w:tab/>
      </w:r>
      <w:r w:rsidRPr="003E40F7">
        <w:rPr>
          <w:rFonts w:ascii="Arial" w:hAnsi="Arial" w:cs="Arial"/>
          <w:i/>
        </w:rPr>
        <w:t xml:space="preserve">The </w:t>
      </w:r>
      <w:proofErr w:type="spellStart"/>
      <w:r w:rsidRPr="003E40F7">
        <w:rPr>
          <w:rFonts w:ascii="Arial" w:hAnsi="Arial" w:cs="Arial"/>
          <w:i/>
        </w:rPr>
        <w:t>GBEStB</w:t>
      </w:r>
      <w:proofErr w:type="spellEnd"/>
      <w:r w:rsidRPr="003E40F7">
        <w:rPr>
          <w:rFonts w:ascii="Arial" w:hAnsi="Arial" w:cs="Arial"/>
          <w:i/>
        </w:rPr>
        <w:t xml:space="preserve"> retains the right to withdraw or refute any form of endorsement or declaration by any member body who has failed to adhere to this Standard.</w:t>
      </w:r>
    </w:p>
    <w:p w14:paraId="6234365C" w14:textId="77777777" w:rsidR="00D53F06" w:rsidRPr="008661D5" w:rsidRDefault="00D53F06" w:rsidP="008661D5">
      <w:pPr>
        <w:jc w:val="both"/>
        <w:rPr>
          <w:rFonts w:ascii="Arial" w:hAnsi="Arial" w:cs="Arial"/>
          <w:sz w:val="24"/>
          <w:szCs w:val="24"/>
        </w:rPr>
      </w:pPr>
    </w:p>
    <w:sectPr w:rsidR="00D53F06" w:rsidRPr="008661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9486" w14:textId="77777777" w:rsidR="00E10E78" w:rsidRDefault="00E10E78" w:rsidP="00B14321">
      <w:pPr>
        <w:spacing w:after="0" w:line="240" w:lineRule="auto"/>
      </w:pPr>
      <w:r>
        <w:separator/>
      </w:r>
    </w:p>
  </w:endnote>
  <w:endnote w:type="continuationSeparator" w:id="0">
    <w:p w14:paraId="62DD249C" w14:textId="77777777" w:rsidR="00E10E78" w:rsidRDefault="00E10E78" w:rsidP="00B1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3A08" w14:textId="77777777" w:rsidR="007B0004" w:rsidRDefault="007B0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85188"/>
      <w:docPartObj>
        <w:docPartGallery w:val="Page Numbers (Bottom of Page)"/>
        <w:docPartUnique/>
      </w:docPartObj>
    </w:sdtPr>
    <w:sdtEndPr>
      <w:rPr>
        <w:noProof/>
      </w:rPr>
    </w:sdtEndPr>
    <w:sdtContent>
      <w:p w14:paraId="66DBC82D" w14:textId="4F1599E3" w:rsidR="00B14321" w:rsidRDefault="00B14321">
        <w:pPr>
          <w:pStyle w:val="Footer"/>
          <w:jc w:val="center"/>
        </w:pPr>
        <w:r>
          <w:fldChar w:fldCharType="begin"/>
        </w:r>
        <w:r>
          <w:instrText xml:space="preserve"> PAGE   \* MERGEFORMAT </w:instrText>
        </w:r>
        <w:r>
          <w:fldChar w:fldCharType="separate"/>
        </w:r>
        <w:r w:rsidR="00F7195B">
          <w:rPr>
            <w:noProof/>
          </w:rPr>
          <w:t>1</w:t>
        </w:r>
        <w:r>
          <w:rPr>
            <w:noProof/>
          </w:rPr>
          <w:fldChar w:fldCharType="end"/>
        </w:r>
      </w:p>
    </w:sdtContent>
  </w:sdt>
  <w:p w14:paraId="0F724FA5" w14:textId="77777777" w:rsidR="00B14321" w:rsidRDefault="00B14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9682" w14:textId="77777777" w:rsidR="007B0004" w:rsidRDefault="007B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1AB" w14:textId="77777777" w:rsidR="00E10E78" w:rsidRDefault="00E10E78" w:rsidP="00B14321">
      <w:pPr>
        <w:spacing w:after="0" w:line="240" w:lineRule="auto"/>
      </w:pPr>
      <w:r>
        <w:separator/>
      </w:r>
    </w:p>
  </w:footnote>
  <w:footnote w:type="continuationSeparator" w:id="0">
    <w:p w14:paraId="6EC30D97" w14:textId="77777777" w:rsidR="00E10E78" w:rsidRDefault="00E10E78" w:rsidP="00B1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CB7D" w14:textId="0332ACD3" w:rsidR="007B0004" w:rsidRDefault="007B0004">
    <w:pPr>
      <w:pStyle w:val="Header"/>
    </w:pPr>
    <w:r>
      <w:rPr>
        <w:noProof/>
      </w:rPr>
      <w:pict w14:anchorId="6EDF2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7886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3151" w14:textId="5CE6C3D9" w:rsidR="007B0004" w:rsidRDefault="007B0004">
    <w:pPr>
      <w:pStyle w:val="Header"/>
    </w:pPr>
    <w:r>
      <w:rPr>
        <w:noProof/>
      </w:rPr>
      <w:pict w14:anchorId="43563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7886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7B54" w14:textId="3A6F5312" w:rsidR="007B0004" w:rsidRDefault="007B0004">
    <w:pPr>
      <w:pStyle w:val="Header"/>
    </w:pPr>
    <w:r>
      <w:rPr>
        <w:noProof/>
      </w:rPr>
      <w:pict w14:anchorId="739BC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78859"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numFmt w:val="bullet"/>
      <w:lvlText w:val=""/>
      <w:lvlJc w:val="left"/>
      <w:pPr>
        <w:ind w:left="739" w:hanging="262"/>
      </w:pPr>
      <w:rPr>
        <w:rFonts w:ascii="Symbol" w:hAnsi="Symbol" w:cs="Symbol"/>
        <w:b w:val="0"/>
        <w:bCs w:val="0"/>
        <w:i w:val="0"/>
        <w:iCs w:val="0"/>
        <w:color w:val="231F20"/>
        <w:w w:val="100"/>
        <w:sz w:val="22"/>
        <w:szCs w:val="22"/>
      </w:rPr>
    </w:lvl>
    <w:lvl w:ilvl="1">
      <w:numFmt w:val="bullet"/>
      <w:lvlText w:val="•"/>
      <w:lvlJc w:val="left"/>
      <w:pPr>
        <w:ind w:left="1561" w:hanging="262"/>
      </w:pPr>
    </w:lvl>
    <w:lvl w:ilvl="2">
      <w:numFmt w:val="bullet"/>
      <w:lvlText w:val="•"/>
      <w:lvlJc w:val="left"/>
      <w:pPr>
        <w:ind w:left="2383" w:hanging="262"/>
      </w:pPr>
    </w:lvl>
    <w:lvl w:ilvl="3">
      <w:numFmt w:val="bullet"/>
      <w:lvlText w:val="•"/>
      <w:lvlJc w:val="left"/>
      <w:pPr>
        <w:ind w:left="3205" w:hanging="262"/>
      </w:pPr>
    </w:lvl>
    <w:lvl w:ilvl="4">
      <w:numFmt w:val="bullet"/>
      <w:lvlText w:val="•"/>
      <w:lvlJc w:val="left"/>
      <w:pPr>
        <w:ind w:left="4027" w:hanging="262"/>
      </w:pPr>
    </w:lvl>
    <w:lvl w:ilvl="5">
      <w:numFmt w:val="bullet"/>
      <w:lvlText w:val="•"/>
      <w:lvlJc w:val="left"/>
      <w:pPr>
        <w:ind w:left="4849" w:hanging="262"/>
      </w:pPr>
    </w:lvl>
    <w:lvl w:ilvl="6">
      <w:numFmt w:val="bullet"/>
      <w:lvlText w:val="•"/>
      <w:lvlJc w:val="left"/>
      <w:pPr>
        <w:ind w:left="5671" w:hanging="262"/>
      </w:pPr>
    </w:lvl>
    <w:lvl w:ilvl="7">
      <w:numFmt w:val="bullet"/>
      <w:lvlText w:val="•"/>
      <w:lvlJc w:val="left"/>
      <w:pPr>
        <w:ind w:left="6493" w:hanging="262"/>
      </w:pPr>
    </w:lvl>
    <w:lvl w:ilvl="8">
      <w:numFmt w:val="bullet"/>
      <w:lvlText w:val="•"/>
      <w:lvlJc w:val="left"/>
      <w:pPr>
        <w:ind w:left="7315" w:hanging="262"/>
      </w:pPr>
    </w:lvl>
  </w:abstractNum>
  <w:abstractNum w:abstractNumId="1" w15:restartNumberingAfterBreak="0">
    <w:nsid w:val="056818C7"/>
    <w:multiLevelType w:val="hybridMultilevel"/>
    <w:tmpl w:val="830E14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667209"/>
    <w:multiLevelType w:val="hybridMultilevel"/>
    <w:tmpl w:val="0E3A264A"/>
    <w:lvl w:ilvl="0" w:tplc="08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B5A7C1D"/>
    <w:multiLevelType w:val="multilevel"/>
    <w:tmpl w:val="744CF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167FE"/>
    <w:multiLevelType w:val="hybridMultilevel"/>
    <w:tmpl w:val="988A93D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5D3F132A"/>
    <w:multiLevelType w:val="hybridMultilevel"/>
    <w:tmpl w:val="C9F8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5722"/>
    <w:multiLevelType w:val="hybridMultilevel"/>
    <w:tmpl w:val="E774E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B0B2510"/>
    <w:multiLevelType w:val="hybridMultilevel"/>
    <w:tmpl w:val="F198E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6226A"/>
    <w:multiLevelType w:val="hybridMultilevel"/>
    <w:tmpl w:val="DFB83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36466319">
    <w:abstractNumId w:val="6"/>
  </w:num>
  <w:num w:numId="2" w16cid:durableId="775835293">
    <w:abstractNumId w:val="1"/>
  </w:num>
  <w:num w:numId="3" w16cid:durableId="845829454">
    <w:abstractNumId w:val="8"/>
  </w:num>
  <w:num w:numId="4" w16cid:durableId="212422797">
    <w:abstractNumId w:val="0"/>
  </w:num>
  <w:num w:numId="5" w16cid:durableId="119348234">
    <w:abstractNumId w:val="7"/>
  </w:num>
  <w:num w:numId="6" w16cid:durableId="80295477">
    <w:abstractNumId w:val="4"/>
  </w:num>
  <w:num w:numId="7" w16cid:durableId="265507314">
    <w:abstractNumId w:val="3"/>
  </w:num>
  <w:num w:numId="8" w16cid:durableId="1246188645">
    <w:abstractNumId w:val="2"/>
  </w:num>
  <w:num w:numId="9" w16cid:durableId="1446928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B3"/>
    <w:rsid w:val="00006CB2"/>
    <w:rsid w:val="000131BB"/>
    <w:rsid w:val="000157AF"/>
    <w:rsid w:val="00015D69"/>
    <w:rsid w:val="00034C98"/>
    <w:rsid w:val="00042A08"/>
    <w:rsid w:val="00042B5A"/>
    <w:rsid w:val="000549C1"/>
    <w:rsid w:val="0005753F"/>
    <w:rsid w:val="00072FB4"/>
    <w:rsid w:val="000746C5"/>
    <w:rsid w:val="00087852"/>
    <w:rsid w:val="000B0308"/>
    <w:rsid w:val="000C69F8"/>
    <w:rsid w:val="000D3BAA"/>
    <w:rsid w:val="0010558F"/>
    <w:rsid w:val="00105EEC"/>
    <w:rsid w:val="00116BA0"/>
    <w:rsid w:val="00127CA3"/>
    <w:rsid w:val="00134CC4"/>
    <w:rsid w:val="00152731"/>
    <w:rsid w:val="00162A3F"/>
    <w:rsid w:val="00167FE8"/>
    <w:rsid w:val="0017174B"/>
    <w:rsid w:val="00194C4A"/>
    <w:rsid w:val="00195671"/>
    <w:rsid w:val="001964F3"/>
    <w:rsid w:val="001C0E3E"/>
    <w:rsid w:val="001C3C51"/>
    <w:rsid w:val="001D1C8B"/>
    <w:rsid w:val="001D47B9"/>
    <w:rsid w:val="001E104F"/>
    <w:rsid w:val="001F1D27"/>
    <w:rsid w:val="001F79E6"/>
    <w:rsid w:val="00201541"/>
    <w:rsid w:val="00203635"/>
    <w:rsid w:val="00210F42"/>
    <w:rsid w:val="00244CFB"/>
    <w:rsid w:val="00260381"/>
    <w:rsid w:val="00263AC1"/>
    <w:rsid w:val="00266B0C"/>
    <w:rsid w:val="002826C4"/>
    <w:rsid w:val="00286394"/>
    <w:rsid w:val="00291BB4"/>
    <w:rsid w:val="002A4456"/>
    <w:rsid w:val="002A6778"/>
    <w:rsid w:val="002B335E"/>
    <w:rsid w:val="002B3F8A"/>
    <w:rsid w:val="002B4758"/>
    <w:rsid w:val="002C2EF1"/>
    <w:rsid w:val="002D3C57"/>
    <w:rsid w:val="002E2148"/>
    <w:rsid w:val="002E294A"/>
    <w:rsid w:val="002F3CE3"/>
    <w:rsid w:val="002F6C59"/>
    <w:rsid w:val="00312DB1"/>
    <w:rsid w:val="00344A22"/>
    <w:rsid w:val="003538CD"/>
    <w:rsid w:val="00363314"/>
    <w:rsid w:val="00367A4C"/>
    <w:rsid w:val="00381F2A"/>
    <w:rsid w:val="00393AEA"/>
    <w:rsid w:val="003B47BE"/>
    <w:rsid w:val="003D2D5E"/>
    <w:rsid w:val="003D4F04"/>
    <w:rsid w:val="003D5013"/>
    <w:rsid w:val="003E1E21"/>
    <w:rsid w:val="003F4CB7"/>
    <w:rsid w:val="003F54A6"/>
    <w:rsid w:val="003F5D8D"/>
    <w:rsid w:val="00407FCF"/>
    <w:rsid w:val="00410E26"/>
    <w:rsid w:val="00441E09"/>
    <w:rsid w:val="00443A83"/>
    <w:rsid w:val="004521C0"/>
    <w:rsid w:val="004605A0"/>
    <w:rsid w:val="004729C9"/>
    <w:rsid w:val="00477D2B"/>
    <w:rsid w:val="004906E7"/>
    <w:rsid w:val="004B1CDA"/>
    <w:rsid w:val="004D1E44"/>
    <w:rsid w:val="004E32FD"/>
    <w:rsid w:val="004F2A2B"/>
    <w:rsid w:val="005117D9"/>
    <w:rsid w:val="00516BDD"/>
    <w:rsid w:val="005227E4"/>
    <w:rsid w:val="00531A0F"/>
    <w:rsid w:val="00534729"/>
    <w:rsid w:val="00552AA2"/>
    <w:rsid w:val="00553F7C"/>
    <w:rsid w:val="00561C7F"/>
    <w:rsid w:val="0056248C"/>
    <w:rsid w:val="00571A6F"/>
    <w:rsid w:val="00573873"/>
    <w:rsid w:val="00573E95"/>
    <w:rsid w:val="00583084"/>
    <w:rsid w:val="005A3BA4"/>
    <w:rsid w:val="005A56BE"/>
    <w:rsid w:val="005D3EC7"/>
    <w:rsid w:val="005E02DC"/>
    <w:rsid w:val="005E1457"/>
    <w:rsid w:val="005F025B"/>
    <w:rsid w:val="00603E72"/>
    <w:rsid w:val="00606F03"/>
    <w:rsid w:val="00614E97"/>
    <w:rsid w:val="006349E3"/>
    <w:rsid w:val="0063503A"/>
    <w:rsid w:val="00636992"/>
    <w:rsid w:val="006445CC"/>
    <w:rsid w:val="00673A01"/>
    <w:rsid w:val="00696BD7"/>
    <w:rsid w:val="006A1414"/>
    <w:rsid w:val="006A161F"/>
    <w:rsid w:val="006A7095"/>
    <w:rsid w:val="006B08B6"/>
    <w:rsid w:val="006B63E2"/>
    <w:rsid w:val="006D197B"/>
    <w:rsid w:val="006E6D54"/>
    <w:rsid w:val="006E74C4"/>
    <w:rsid w:val="007015A2"/>
    <w:rsid w:val="0071146A"/>
    <w:rsid w:val="0075219B"/>
    <w:rsid w:val="0076724B"/>
    <w:rsid w:val="00782EB3"/>
    <w:rsid w:val="00792B6D"/>
    <w:rsid w:val="007A2BAB"/>
    <w:rsid w:val="007B0004"/>
    <w:rsid w:val="007C6DDE"/>
    <w:rsid w:val="007E4E51"/>
    <w:rsid w:val="007E5023"/>
    <w:rsid w:val="007E5168"/>
    <w:rsid w:val="007F0428"/>
    <w:rsid w:val="008042F9"/>
    <w:rsid w:val="00807CB8"/>
    <w:rsid w:val="008162F4"/>
    <w:rsid w:val="0082091D"/>
    <w:rsid w:val="00820A51"/>
    <w:rsid w:val="00852781"/>
    <w:rsid w:val="00856530"/>
    <w:rsid w:val="008661D5"/>
    <w:rsid w:val="00874299"/>
    <w:rsid w:val="00875655"/>
    <w:rsid w:val="00887BD5"/>
    <w:rsid w:val="00890B93"/>
    <w:rsid w:val="00893348"/>
    <w:rsid w:val="008A0963"/>
    <w:rsid w:val="008A20E7"/>
    <w:rsid w:val="008A2420"/>
    <w:rsid w:val="008A3026"/>
    <w:rsid w:val="008B199D"/>
    <w:rsid w:val="008C02C7"/>
    <w:rsid w:val="008C4007"/>
    <w:rsid w:val="008D3217"/>
    <w:rsid w:val="008E0A1F"/>
    <w:rsid w:val="008F65D1"/>
    <w:rsid w:val="00902411"/>
    <w:rsid w:val="00910982"/>
    <w:rsid w:val="0091385E"/>
    <w:rsid w:val="00924C19"/>
    <w:rsid w:val="00925728"/>
    <w:rsid w:val="00932275"/>
    <w:rsid w:val="009361E4"/>
    <w:rsid w:val="00963679"/>
    <w:rsid w:val="009642AA"/>
    <w:rsid w:val="00983D4F"/>
    <w:rsid w:val="009A1C5C"/>
    <w:rsid w:val="009B585F"/>
    <w:rsid w:val="009C4DA8"/>
    <w:rsid w:val="009D1B6E"/>
    <w:rsid w:val="009E0238"/>
    <w:rsid w:val="009E0E1C"/>
    <w:rsid w:val="00A0165F"/>
    <w:rsid w:val="00A0197A"/>
    <w:rsid w:val="00A1534F"/>
    <w:rsid w:val="00A4365F"/>
    <w:rsid w:val="00A53A0D"/>
    <w:rsid w:val="00A6088A"/>
    <w:rsid w:val="00A60E31"/>
    <w:rsid w:val="00A66852"/>
    <w:rsid w:val="00A72FB1"/>
    <w:rsid w:val="00A821C4"/>
    <w:rsid w:val="00A9361C"/>
    <w:rsid w:val="00AB431D"/>
    <w:rsid w:val="00AC0AAF"/>
    <w:rsid w:val="00AC783E"/>
    <w:rsid w:val="00AE5EDE"/>
    <w:rsid w:val="00AF75B3"/>
    <w:rsid w:val="00B002FE"/>
    <w:rsid w:val="00B03983"/>
    <w:rsid w:val="00B14321"/>
    <w:rsid w:val="00B36226"/>
    <w:rsid w:val="00B410A2"/>
    <w:rsid w:val="00B43E94"/>
    <w:rsid w:val="00B465A2"/>
    <w:rsid w:val="00B53197"/>
    <w:rsid w:val="00B7294F"/>
    <w:rsid w:val="00B72F0F"/>
    <w:rsid w:val="00B856FF"/>
    <w:rsid w:val="00B86DB0"/>
    <w:rsid w:val="00B9719B"/>
    <w:rsid w:val="00BA689B"/>
    <w:rsid w:val="00BC2C95"/>
    <w:rsid w:val="00BC35F9"/>
    <w:rsid w:val="00BD59E9"/>
    <w:rsid w:val="00BD74FE"/>
    <w:rsid w:val="00BE0233"/>
    <w:rsid w:val="00C04BD4"/>
    <w:rsid w:val="00C34056"/>
    <w:rsid w:val="00C366CF"/>
    <w:rsid w:val="00C51C3E"/>
    <w:rsid w:val="00C561DF"/>
    <w:rsid w:val="00C70B02"/>
    <w:rsid w:val="00C8679A"/>
    <w:rsid w:val="00C903A2"/>
    <w:rsid w:val="00C9424C"/>
    <w:rsid w:val="00CA686D"/>
    <w:rsid w:val="00CA6C15"/>
    <w:rsid w:val="00CB57AF"/>
    <w:rsid w:val="00CD070F"/>
    <w:rsid w:val="00CD59F2"/>
    <w:rsid w:val="00CD6262"/>
    <w:rsid w:val="00CE3529"/>
    <w:rsid w:val="00D03C1C"/>
    <w:rsid w:val="00D53F06"/>
    <w:rsid w:val="00D567D0"/>
    <w:rsid w:val="00D62522"/>
    <w:rsid w:val="00D63005"/>
    <w:rsid w:val="00D6413E"/>
    <w:rsid w:val="00D71D87"/>
    <w:rsid w:val="00D8304A"/>
    <w:rsid w:val="00DA249A"/>
    <w:rsid w:val="00DD7F40"/>
    <w:rsid w:val="00DE4435"/>
    <w:rsid w:val="00DF3FA0"/>
    <w:rsid w:val="00DF61D7"/>
    <w:rsid w:val="00E03470"/>
    <w:rsid w:val="00E03517"/>
    <w:rsid w:val="00E1028D"/>
    <w:rsid w:val="00E10E78"/>
    <w:rsid w:val="00E14BAB"/>
    <w:rsid w:val="00E3223A"/>
    <w:rsid w:val="00E355C1"/>
    <w:rsid w:val="00E36389"/>
    <w:rsid w:val="00E37030"/>
    <w:rsid w:val="00E71E8E"/>
    <w:rsid w:val="00E75A83"/>
    <w:rsid w:val="00E76C7F"/>
    <w:rsid w:val="00E80402"/>
    <w:rsid w:val="00E81935"/>
    <w:rsid w:val="00E8201C"/>
    <w:rsid w:val="00E82AC2"/>
    <w:rsid w:val="00E84B93"/>
    <w:rsid w:val="00EA2273"/>
    <w:rsid w:val="00EA32C9"/>
    <w:rsid w:val="00EA5678"/>
    <w:rsid w:val="00EB3264"/>
    <w:rsid w:val="00EC041F"/>
    <w:rsid w:val="00EF54E5"/>
    <w:rsid w:val="00F010E0"/>
    <w:rsid w:val="00F07F07"/>
    <w:rsid w:val="00F14018"/>
    <w:rsid w:val="00F227F1"/>
    <w:rsid w:val="00F238E1"/>
    <w:rsid w:val="00F402C9"/>
    <w:rsid w:val="00F568B4"/>
    <w:rsid w:val="00F70F37"/>
    <w:rsid w:val="00F7195B"/>
    <w:rsid w:val="00F751F6"/>
    <w:rsid w:val="00F81AB8"/>
    <w:rsid w:val="00F87A45"/>
    <w:rsid w:val="00F915C1"/>
    <w:rsid w:val="00FA6A45"/>
    <w:rsid w:val="00FC6D66"/>
    <w:rsid w:val="00FD6104"/>
    <w:rsid w:val="00FE1E3D"/>
    <w:rsid w:val="00FE4F95"/>
    <w:rsid w:val="00FF20FF"/>
    <w:rsid w:val="00FF2B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4C01C"/>
  <w15:chartTrackingRefBased/>
  <w15:docId w15:val="{3F338E1D-33E9-4A82-966D-03E23F4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9A"/>
    <w:pPr>
      <w:ind w:left="720"/>
      <w:contextualSpacing/>
    </w:pPr>
  </w:style>
  <w:style w:type="paragraph" w:styleId="BalloonText">
    <w:name w:val="Balloon Text"/>
    <w:basedOn w:val="Normal"/>
    <w:link w:val="BalloonTextChar"/>
    <w:uiPriority w:val="99"/>
    <w:semiHidden/>
    <w:unhideWhenUsed/>
    <w:rsid w:val="00CD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62"/>
    <w:rPr>
      <w:rFonts w:ascii="Segoe UI" w:hAnsi="Segoe UI" w:cs="Segoe UI"/>
      <w:sz w:val="18"/>
      <w:szCs w:val="18"/>
    </w:rPr>
  </w:style>
  <w:style w:type="paragraph" w:styleId="BodyText">
    <w:name w:val="Body Text"/>
    <w:basedOn w:val="Normal"/>
    <w:link w:val="BodyTextChar"/>
    <w:uiPriority w:val="1"/>
    <w:qFormat/>
    <w:rsid w:val="006E74C4"/>
    <w:pPr>
      <w:widowControl w:val="0"/>
      <w:autoSpaceDE w:val="0"/>
      <w:autoSpaceDN w:val="0"/>
      <w:adjustRightInd w:val="0"/>
      <w:spacing w:after="0" w:line="240" w:lineRule="auto"/>
    </w:pPr>
    <w:rPr>
      <w:rFonts w:ascii="Times New Roman" w:eastAsiaTheme="minorEastAsia" w:hAnsi="Times New Roman" w:cs="Times New Roman"/>
      <w:lang w:eastAsia="en-IN"/>
    </w:rPr>
  </w:style>
  <w:style w:type="character" w:customStyle="1" w:styleId="BodyTextChar">
    <w:name w:val="Body Text Char"/>
    <w:basedOn w:val="DefaultParagraphFont"/>
    <w:link w:val="BodyText"/>
    <w:uiPriority w:val="99"/>
    <w:rsid w:val="006E74C4"/>
    <w:rPr>
      <w:rFonts w:ascii="Times New Roman" w:eastAsiaTheme="minorEastAsia" w:hAnsi="Times New Roman" w:cs="Times New Roman"/>
      <w:lang w:eastAsia="en-IN"/>
    </w:rPr>
  </w:style>
  <w:style w:type="character" w:styleId="Hyperlink">
    <w:name w:val="Hyperlink"/>
    <w:basedOn w:val="DefaultParagraphFont"/>
    <w:uiPriority w:val="99"/>
    <w:semiHidden/>
    <w:unhideWhenUsed/>
    <w:rsid w:val="00F751F6"/>
    <w:rPr>
      <w:color w:val="0000FF"/>
      <w:u w:val="single"/>
    </w:rPr>
  </w:style>
  <w:style w:type="paragraph" w:styleId="Header">
    <w:name w:val="header"/>
    <w:basedOn w:val="Normal"/>
    <w:link w:val="HeaderChar"/>
    <w:uiPriority w:val="99"/>
    <w:unhideWhenUsed/>
    <w:rsid w:val="00B14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21"/>
  </w:style>
  <w:style w:type="paragraph" w:styleId="Footer">
    <w:name w:val="footer"/>
    <w:basedOn w:val="Normal"/>
    <w:link w:val="FooterChar"/>
    <w:uiPriority w:val="99"/>
    <w:unhideWhenUsed/>
    <w:rsid w:val="00B14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21"/>
  </w:style>
  <w:style w:type="paragraph" w:styleId="FootnoteText">
    <w:name w:val="footnote text"/>
    <w:basedOn w:val="Normal"/>
    <w:link w:val="FootnoteTextChar"/>
    <w:uiPriority w:val="99"/>
    <w:unhideWhenUsed/>
    <w:rsid w:val="006A1414"/>
    <w:pPr>
      <w:spacing w:after="200" w:line="276" w:lineRule="auto"/>
    </w:pPr>
    <w:rPr>
      <w:rFonts w:ascii="Georgia" w:eastAsia="Calibri" w:hAnsi="Georgia" w:cs="Times New Roman"/>
      <w:sz w:val="20"/>
      <w:szCs w:val="20"/>
      <w:lang w:val="x-none"/>
    </w:rPr>
  </w:style>
  <w:style w:type="character" w:customStyle="1" w:styleId="FootnoteTextChar">
    <w:name w:val="Footnote Text Char"/>
    <w:basedOn w:val="DefaultParagraphFont"/>
    <w:link w:val="FootnoteText"/>
    <w:uiPriority w:val="99"/>
    <w:rsid w:val="006A1414"/>
    <w:rPr>
      <w:rFonts w:ascii="Georgia" w:eastAsia="Calibri" w:hAnsi="Georgia" w:cs="Times New Roman"/>
      <w:sz w:val="20"/>
      <w:szCs w:val="20"/>
      <w:lang w:val="x-none"/>
    </w:rPr>
  </w:style>
  <w:style w:type="character" w:styleId="FootnoteReference">
    <w:name w:val="footnote reference"/>
    <w:uiPriority w:val="99"/>
    <w:semiHidden/>
    <w:unhideWhenUsed/>
    <w:rsid w:val="006A1414"/>
    <w:rPr>
      <w:vertAlign w:val="superscript"/>
    </w:rPr>
  </w:style>
  <w:style w:type="paragraph" w:customStyle="1" w:styleId="MediumGrid1-Accent21">
    <w:name w:val="Medium Grid 1 - Accent 21"/>
    <w:basedOn w:val="Normal"/>
    <w:uiPriority w:val="34"/>
    <w:qFormat/>
    <w:rsid w:val="00D53F06"/>
    <w:pPr>
      <w:spacing w:after="0" w:line="240" w:lineRule="auto"/>
      <w:ind w:lef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uxe.com/blog/6-essentials-to-transform-treasury-manag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Denise Treweek</cp:lastModifiedBy>
  <cp:revision>2</cp:revision>
  <cp:lastPrinted>2023-05-26T06:20:00Z</cp:lastPrinted>
  <dcterms:created xsi:type="dcterms:W3CDTF">2023-06-02T09:12:00Z</dcterms:created>
  <dcterms:modified xsi:type="dcterms:W3CDTF">2023-06-02T09:12:00Z</dcterms:modified>
</cp:coreProperties>
</file>